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859C2F" w14:textId="77777777" w:rsidR="00AF59FA" w:rsidRDefault="00AF59FA" w:rsidP="00AF59FA">
      <w:pPr>
        <w:pStyle w:val="Heading1"/>
        <w:jc w:val="center"/>
      </w:pPr>
      <w:r>
        <w:t>References to Programmes and Legislation in the Ontario Portion of the Periodic Reports Submitted by Canada to the Committee on Economic, Social and Cultural Rights (CESCR) in 1997, 2004 and 2005</w:t>
      </w:r>
    </w:p>
    <w:p w14:paraId="5BC5A8E4" w14:textId="77777777" w:rsidR="00AF59FA" w:rsidRDefault="00AF59FA" w:rsidP="00AF59FA"/>
    <w:p w14:paraId="48ED095F" w14:textId="77777777" w:rsidR="00AF59FA" w:rsidRDefault="00AF59FA" w:rsidP="00AF59FA">
      <w:r>
        <w:t>*focus is on Articles 9 and 11 of the Covenant (ICESCR):</w:t>
      </w:r>
    </w:p>
    <w:p w14:paraId="488D537C" w14:textId="77777777" w:rsidR="00AF59FA" w:rsidRDefault="00AF59FA" w:rsidP="00AF59FA"/>
    <w:p w14:paraId="70C88AF2" w14:textId="77777777" w:rsidR="00AF59FA" w:rsidRDefault="00AF59FA" w:rsidP="00AF59FA">
      <w:pPr>
        <w:pBdr>
          <w:top w:val="single" w:sz="4" w:space="1" w:color="auto"/>
          <w:left w:val="single" w:sz="4" w:space="4" w:color="auto"/>
          <w:bottom w:val="single" w:sz="4" w:space="1" w:color="auto"/>
          <w:right w:val="single" w:sz="4" w:space="4" w:color="auto"/>
        </w:pBdr>
      </w:pPr>
      <w:r>
        <w:t>Article 9 (ICESCR)</w:t>
      </w:r>
    </w:p>
    <w:p w14:paraId="58874A04" w14:textId="77777777" w:rsidR="00AF59FA" w:rsidRDefault="00AF59FA" w:rsidP="00AF59FA">
      <w:pPr>
        <w:pBdr>
          <w:top w:val="single" w:sz="4" w:space="1" w:color="auto"/>
          <w:left w:val="single" w:sz="4" w:space="4" w:color="auto"/>
          <w:bottom w:val="single" w:sz="4" w:space="1" w:color="auto"/>
          <w:right w:val="single" w:sz="4" w:space="4" w:color="auto"/>
        </w:pBdr>
      </w:pPr>
      <w:r>
        <w:t xml:space="preserve">The States Parties to the present Covenant recognize the right of everyone to social security, including social insurance. </w:t>
      </w:r>
    </w:p>
    <w:p w14:paraId="592F6F11" w14:textId="77777777" w:rsidR="00AF59FA" w:rsidRDefault="00AF59FA" w:rsidP="00AF59FA">
      <w:pPr>
        <w:pBdr>
          <w:top w:val="single" w:sz="4" w:space="1" w:color="auto"/>
          <w:left w:val="single" w:sz="4" w:space="4" w:color="auto"/>
          <w:bottom w:val="single" w:sz="4" w:space="1" w:color="auto"/>
          <w:right w:val="single" w:sz="4" w:space="4" w:color="auto"/>
        </w:pBdr>
      </w:pPr>
    </w:p>
    <w:p w14:paraId="0BC4C36F" w14:textId="77777777" w:rsidR="00AF59FA" w:rsidRDefault="00AF59FA" w:rsidP="00AF59FA">
      <w:pPr>
        <w:pBdr>
          <w:top w:val="single" w:sz="4" w:space="1" w:color="auto"/>
          <w:left w:val="single" w:sz="4" w:space="4" w:color="auto"/>
          <w:bottom w:val="single" w:sz="4" w:space="1" w:color="auto"/>
          <w:right w:val="single" w:sz="4" w:space="4" w:color="auto"/>
        </w:pBdr>
      </w:pPr>
      <w:r>
        <w:t>Article 11 (ICESCR)</w:t>
      </w:r>
    </w:p>
    <w:p w14:paraId="168A2E27" w14:textId="77777777" w:rsidR="00AF59FA" w:rsidRDefault="00AF59FA" w:rsidP="00AF59FA">
      <w:pPr>
        <w:pBdr>
          <w:top w:val="single" w:sz="4" w:space="1" w:color="auto"/>
          <w:left w:val="single" w:sz="4" w:space="4" w:color="auto"/>
          <w:bottom w:val="single" w:sz="4" w:space="1" w:color="auto"/>
          <w:right w:val="single" w:sz="4" w:space="4" w:color="auto"/>
        </w:pBdr>
      </w:pPr>
      <w:r>
        <w:t xml:space="preserve">1. The States Parties to the present Covenant recognize the right of everyone to an adequate standard of living for himself and his family, including adequate food, clothing and housing, and to the continuous improvement of living conditions. The States Parties will take appropriate steps to ensure the realization of this right, recognizing to this effect the essential importance of international co-operation based on free consent. </w:t>
      </w:r>
    </w:p>
    <w:p w14:paraId="4E1943D1" w14:textId="77777777" w:rsidR="00AF59FA" w:rsidRDefault="00AF59FA" w:rsidP="00AF59FA">
      <w:pPr>
        <w:pBdr>
          <w:top w:val="single" w:sz="4" w:space="1" w:color="auto"/>
          <w:left w:val="single" w:sz="4" w:space="4" w:color="auto"/>
          <w:bottom w:val="single" w:sz="4" w:space="1" w:color="auto"/>
          <w:right w:val="single" w:sz="4" w:space="4" w:color="auto"/>
        </w:pBdr>
      </w:pPr>
    </w:p>
    <w:p w14:paraId="3A4B84DD" w14:textId="77777777" w:rsidR="00AF59FA" w:rsidRDefault="00AF59FA" w:rsidP="00AF59FA">
      <w:pPr>
        <w:pBdr>
          <w:top w:val="single" w:sz="4" w:space="1" w:color="auto"/>
          <w:left w:val="single" w:sz="4" w:space="4" w:color="auto"/>
          <w:bottom w:val="single" w:sz="4" w:space="1" w:color="auto"/>
          <w:right w:val="single" w:sz="4" w:space="4" w:color="auto"/>
        </w:pBdr>
      </w:pPr>
      <w:r>
        <w:t xml:space="preserve">2. The States Parties to the present Covenant, recognizing the fundamental right of everyone to be free from hunger, shall take, individually and through international co-operation, the measures, including specific programmes, which are needed: </w:t>
      </w:r>
    </w:p>
    <w:p w14:paraId="7E34E740" w14:textId="77777777" w:rsidR="00AF59FA" w:rsidRDefault="00AF59FA" w:rsidP="00AF59FA">
      <w:pPr>
        <w:pBdr>
          <w:top w:val="single" w:sz="4" w:space="1" w:color="auto"/>
          <w:left w:val="single" w:sz="4" w:space="4" w:color="auto"/>
          <w:bottom w:val="single" w:sz="4" w:space="1" w:color="auto"/>
          <w:right w:val="single" w:sz="4" w:space="4" w:color="auto"/>
        </w:pBdr>
      </w:pPr>
    </w:p>
    <w:p w14:paraId="4E9881B4" w14:textId="77777777" w:rsidR="00AF59FA" w:rsidRDefault="00AF59FA" w:rsidP="00AF59FA">
      <w:pPr>
        <w:pBdr>
          <w:top w:val="single" w:sz="4" w:space="1" w:color="auto"/>
          <w:left w:val="single" w:sz="4" w:space="4" w:color="auto"/>
          <w:bottom w:val="single" w:sz="4" w:space="1" w:color="auto"/>
          <w:right w:val="single" w:sz="4" w:space="4" w:color="auto"/>
        </w:pBdr>
      </w:pPr>
      <w:r>
        <w:t xml:space="preserve">(a) To improve methods of production, conservation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 </w:t>
      </w:r>
    </w:p>
    <w:p w14:paraId="4BB4AF2E" w14:textId="77777777" w:rsidR="00AF59FA" w:rsidRDefault="00AF59FA" w:rsidP="00AF59FA">
      <w:pPr>
        <w:pBdr>
          <w:top w:val="single" w:sz="4" w:space="1" w:color="auto"/>
          <w:left w:val="single" w:sz="4" w:space="4" w:color="auto"/>
          <w:bottom w:val="single" w:sz="4" w:space="1" w:color="auto"/>
          <w:right w:val="single" w:sz="4" w:space="4" w:color="auto"/>
        </w:pBdr>
      </w:pPr>
    </w:p>
    <w:p w14:paraId="6DB15AEA" w14:textId="77777777" w:rsidR="00AF59FA" w:rsidRDefault="00AF59FA" w:rsidP="00AF59FA">
      <w:pPr>
        <w:pBdr>
          <w:top w:val="single" w:sz="4" w:space="1" w:color="auto"/>
          <w:left w:val="single" w:sz="4" w:space="4" w:color="auto"/>
          <w:bottom w:val="single" w:sz="4" w:space="1" w:color="auto"/>
          <w:right w:val="single" w:sz="4" w:space="4" w:color="auto"/>
        </w:pBdr>
      </w:pPr>
      <w:r>
        <w:t xml:space="preserve">(b) Taking into account the problems of both food-importing and food-exporting countries, to ensure an equitable distribution of world food supplies in relation to need. </w:t>
      </w:r>
    </w:p>
    <w:p w14:paraId="47F9AFBB" w14:textId="77777777" w:rsidR="00AF59FA" w:rsidRDefault="00AF59FA" w:rsidP="00AF59FA"/>
    <w:p w14:paraId="50D761FD" w14:textId="77777777" w:rsidR="00AF59FA" w:rsidRDefault="00AF59FA" w:rsidP="00AF59FA"/>
    <w:p w14:paraId="71D70491" w14:textId="77777777" w:rsidR="00AF59FA" w:rsidRDefault="00AF59FA" w:rsidP="00AF59FA"/>
    <w:p w14:paraId="2C389B19" w14:textId="77777777" w:rsidR="00A52465" w:rsidRDefault="00A52465" w:rsidP="00AF59FA"/>
    <w:p w14:paraId="12A2DD22" w14:textId="77777777" w:rsidR="00A52465" w:rsidRDefault="00A52465" w:rsidP="00AF59FA"/>
    <w:p w14:paraId="0D0A2D08" w14:textId="77777777" w:rsidR="00A52465" w:rsidRDefault="00A52465" w:rsidP="00AF59FA"/>
    <w:p w14:paraId="5A6E50EA" w14:textId="77777777" w:rsidR="00A52465" w:rsidRDefault="00A52465" w:rsidP="00AF59FA"/>
    <w:p w14:paraId="55230603" w14:textId="77777777" w:rsidR="00A52465" w:rsidRDefault="00A52465" w:rsidP="00AF59FA"/>
    <w:p w14:paraId="6493824B" w14:textId="040C3416" w:rsidR="00ED1050" w:rsidRDefault="00082D6A" w:rsidP="00AF59FA">
      <w:pPr>
        <w:rPr>
          <w:sz w:val="28"/>
          <w:szCs w:val="28"/>
        </w:rPr>
      </w:pPr>
      <w:r>
        <w:rPr>
          <w:sz w:val="28"/>
          <w:szCs w:val="28"/>
        </w:rPr>
        <w:lastRenderedPageBreak/>
        <w:t xml:space="preserve">In making arguments before courts and tribunals about the interpretation of legislative provisions it is often helpful to refer to submissions made by Ontario </w:t>
      </w:r>
      <w:r w:rsidR="00CD27EF">
        <w:rPr>
          <w:sz w:val="28"/>
          <w:szCs w:val="28"/>
        </w:rPr>
        <w:t xml:space="preserve">to UN reviewing bodies </w:t>
      </w:r>
      <w:r>
        <w:rPr>
          <w:sz w:val="28"/>
          <w:szCs w:val="28"/>
        </w:rPr>
        <w:t>about how this legislation is meant to</w:t>
      </w:r>
      <w:r w:rsidR="00CD27EF">
        <w:rPr>
          <w:sz w:val="28"/>
          <w:szCs w:val="28"/>
        </w:rPr>
        <w:t xml:space="preserve"> protect social rights and</w:t>
      </w:r>
      <w:r>
        <w:rPr>
          <w:sz w:val="28"/>
          <w:szCs w:val="28"/>
        </w:rPr>
        <w:t xml:space="preserve"> implement Canada/Ontario’s interna</w:t>
      </w:r>
      <w:r w:rsidR="00CD27EF">
        <w:rPr>
          <w:sz w:val="28"/>
          <w:szCs w:val="28"/>
        </w:rPr>
        <w:t xml:space="preserve">tional human rights obligations.  The following chart summarizes Ontario’s references to specific legislative provisions that the province deems to implement Ontario’s obligations under articles 9 and 11 of the ICESCR protecting the right to an adequate standard of living and adequate social security.  </w:t>
      </w:r>
      <w:hyperlink r:id="rId8" w:history="1">
        <w:r w:rsidR="00CD27EF" w:rsidRPr="00CD27EF">
          <w:rPr>
            <w:rStyle w:val="Hyperlink"/>
            <w:sz w:val="28"/>
            <w:szCs w:val="28"/>
          </w:rPr>
          <w:t>Click here</w:t>
        </w:r>
      </w:hyperlink>
      <w:r w:rsidR="00CD27EF">
        <w:rPr>
          <w:sz w:val="28"/>
          <w:szCs w:val="28"/>
        </w:rPr>
        <w:t xml:space="preserve"> for the full text of Ontario’s submissions.</w:t>
      </w:r>
    </w:p>
    <w:p w14:paraId="389DDBC1" w14:textId="77777777" w:rsidR="00CD27EF" w:rsidRPr="00082D6A" w:rsidRDefault="00CD27EF" w:rsidP="00AF59FA">
      <w:pPr>
        <w:rPr>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1568"/>
        <w:gridCol w:w="1165"/>
        <w:gridCol w:w="4851"/>
        <w:gridCol w:w="3963"/>
      </w:tblGrid>
      <w:tr w:rsidR="00AF59FA" w:rsidRPr="002D42DB" w14:paraId="69F13A3D" w14:textId="77777777" w:rsidTr="00AF59FA">
        <w:tc>
          <w:tcPr>
            <w:tcW w:w="618" w:type="pct"/>
          </w:tcPr>
          <w:p w14:paraId="60D730D3" w14:textId="77777777" w:rsidR="00AF59FA" w:rsidRPr="00BD2020" w:rsidRDefault="00AF59FA" w:rsidP="00BA4971">
            <w:pPr>
              <w:rPr>
                <w:b/>
                <w:sz w:val="20"/>
                <w:szCs w:val="20"/>
              </w:rPr>
            </w:pPr>
            <w:r w:rsidRPr="00BD2020">
              <w:rPr>
                <w:b/>
                <w:sz w:val="20"/>
                <w:szCs w:val="20"/>
              </w:rPr>
              <w:t>Report (Number/Year)</w:t>
            </w:r>
          </w:p>
        </w:tc>
        <w:tc>
          <w:tcPr>
            <w:tcW w:w="595" w:type="pct"/>
          </w:tcPr>
          <w:p w14:paraId="3A78FC20" w14:textId="77777777" w:rsidR="00AF59FA" w:rsidRPr="00BD2020" w:rsidRDefault="00AF59FA" w:rsidP="00BA4971">
            <w:pPr>
              <w:rPr>
                <w:b/>
                <w:sz w:val="20"/>
                <w:szCs w:val="20"/>
              </w:rPr>
            </w:pPr>
            <w:r w:rsidRPr="00BD2020">
              <w:rPr>
                <w:b/>
                <w:sz w:val="20"/>
                <w:szCs w:val="20"/>
              </w:rPr>
              <w:t>ICESCR Article</w:t>
            </w:r>
          </w:p>
        </w:tc>
        <w:tc>
          <w:tcPr>
            <w:tcW w:w="442" w:type="pct"/>
          </w:tcPr>
          <w:p w14:paraId="4E6D1990" w14:textId="77777777" w:rsidR="00AF59FA" w:rsidRPr="00BD2020" w:rsidRDefault="00AF59FA" w:rsidP="00BA4971">
            <w:pPr>
              <w:rPr>
                <w:b/>
                <w:sz w:val="20"/>
                <w:szCs w:val="20"/>
              </w:rPr>
            </w:pPr>
            <w:r w:rsidRPr="00BD2020">
              <w:rPr>
                <w:b/>
                <w:sz w:val="20"/>
                <w:szCs w:val="20"/>
              </w:rPr>
              <w:t>Paragraphs</w:t>
            </w:r>
            <w:r>
              <w:rPr>
                <w:b/>
                <w:sz w:val="20"/>
                <w:szCs w:val="20"/>
              </w:rPr>
              <w:t xml:space="preserve"> of Report</w:t>
            </w:r>
          </w:p>
        </w:tc>
        <w:tc>
          <w:tcPr>
            <w:tcW w:w="1841" w:type="pct"/>
          </w:tcPr>
          <w:p w14:paraId="4A7A7D28" w14:textId="77777777" w:rsidR="00AF59FA" w:rsidRPr="00BD2020" w:rsidRDefault="00AF59FA" w:rsidP="00BA4971">
            <w:pPr>
              <w:rPr>
                <w:b/>
                <w:sz w:val="20"/>
                <w:szCs w:val="20"/>
              </w:rPr>
            </w:pPr>
            <w:r w:rsidRPr="00BD2020">
              <w:rPr>
                <w:b/>
                <w:sz w:val="20"/>
                <w:szCs w:val="20"/>
              </w:rPr>
              <w:t>Legislation/Program</w:t>
            </w:r>
          </w:p>
        </w:tc>
        <w:tc>
          <w:tcPr>
            <w:tcW w:w="1504" w:type="pct"/>
          </w:tcPr>
          <w:p w14:paraId="58204B2F" w14:textId="52E42230" w:rsidR="00AF59FA" w:rsidRPr="00BD2020" w:rsidRDefault="00ED1050" w:rsidP="00BA4971">
            <w:pPr>
              <w:rPr>
                <w:b/>
                <w:sz w:val="20"/>
                <w:szCs w:val="20"/>
              </w:rPr>
            </w:pPr>
            <w:r>
              <w:rPr>
                <w:b/>
                <w:sz w:val="20"/>
                <w:szCs w:val="20"/>
              </w:rPr>
              <w:t>Ontario’s Submissions regarding positive measures taken under provincial legislation</w:t>
            </w:r>
            <w:r w:rsidR="00AF59FA">
              <w:rPr>
                <w:b/>
                <w:sz w:val="20"/>
                <w:szCs w:val="20"/>
              </w:rPr>
              <w:t xml:space="preserve"> </w:t>
            </w:r>
          </w:p>
        </w:tc>
      </w:tr>
      <w:tr w:rsidR="00AF59FA" w:rsidRPr="002D42DB" w14:paraId="440CA0B0" w14:textId="77777777" w:rsidTr="00AF59FA">
        <w:tc>
          <w:tcPr>
            <w:tcW w:w="618" w:type="pct"/>
          </w:tcPr>
          <w:p w14:paraId="66543323" w14:textId="2B4B6C6A" w:rsidR="00AF59FA" w:rsidRPr="002D42DB" w:rsidRDefault="00ED1050" w:rsidP="00BA4971">
            <w:pPr>
              <w:rPr>
                <w:sz w:val="20"/>
                <w:szCs w:val="20"/>
              </w:rPr>
            </w:pPr>
            <w:hyperlink r:id="rId9" w:history="1">
              <w:r w:rsidR="00AF59FA" w:rsidRPr="00ED1050">
                <w:rPr>
                  <w:rStyle w:val="Hyperlink"/>
                  <w:sz w:val="20"/>
                  <w:szCs w:val="20"/>
                </w:rPr>
                <w:t>Third, 1997</w:t>
              </w:r>
            </w:hyperlink>
          </w:p>
        </w:tc>
        <w:tc>
          <w:tcPr>
            <w:tcW w:w="595" w:type="pct"/>
          </w:tcPr>
          <w:p w14:paraId="473AC505" w14:textId="77777777" w:rsidR="00AF59FA" w:rsidRPr="002D42DB" w:rsidRDefault="00AF59FA" w:rsidP="00BA4971">
            <w:pPr>
              <w:rPr>
                <w:sz w:val="20"/>
                <w:szCs w:val="20"/>
              </w:rPr>
            </w:pPr>
            <w:r>
              <w:rPr>
                <w:sz w:val="20"/>
                <w:szCs w:val="20"/>
              </w:rPr>
              <w:t>Article 9</w:t>
            </w:r>
          </w:p>
        </w:tc>
        <w:tc>
          <w:tcPr>
            <w:tcW w:w="442" w:type="pct"/>
          </w:tcPr>
          <w:p w14:paraId="34A51B99" w14:textId="77777777" w:rsidR="00AF59FA" w:rsidRPr="002D42DB" w:rsidRDefault="00AF59FA" w:rsidP="00BA4971">
            <w:pPr>
              <w:rPr>
                <w:sz w:val="20"/>
                <w:szCs w:val="20"/>
              </w:rPr>
            </w:pPr>
            <w:r>
              <w:rPr>
                <w:sz w:val="20"/>
                <w:szCs w:val="20"/>
              </w:rPr>
              <w:t>889</w:t>
            </w:r>
          </w:p>
        </w:tc>
        <w:tc>
          <w:tcPr>
            <w:tcW w:w="1841" w:type="pct"/>
          </w:tcPr>
          <w:p w14:paraId="3D207AB3" w14:textId="77777777" w:rsidR="00AF59FA" w:rsidRPr="00B408EF" w:rsidRDefault="00AF59FA" w:rsidP="00BA4971">
            <w:pPr>
              <w:rPr>
                <w:b/>
                <w:sz w:val="20"/>
                <w:szCs w:val="20"/>
              </w:rPr>
            </w:pPr>
            <w:r w:rsidRPr="00B408EF">
              <w:rPr>
                <w:b/>
                <w:sz w:val="20"/>
                <w:szCs w:val="20"/>
              </w:rPr>
              <w:t xml:space="preserve">Social Security </w:t>
            </w:r>
          </w:p>
          <w:p w14:paraId="220FEEC2" w14:textId="77777777" w:rsidR="00AF59FA" w:rsidRPr="0077011E" w:rsidRDefault="00AF59FA" w:rsidP="00BA4971">
            <w:pPr>
              <w:numPr>
                <w:ilvl w:val="0"/>
                <w:numId w:val="1"/>
              </w:numPr>
              <w:rPr>
                <w:i/>
                <w:sz w:val="20"/>
                <w:szCs w:val="20"/>
              </w:rPr>
            </w:pPr>
            <w:r w:rsidRPr="0077011E">
              <w:rPr>
                <w:i/>
                <w:sz w:val="20"/>
                <w:szCs w:val="20"/>
              </w:rPr>
              <w:t>Pension Benefits Act, 1987</w:t>
            </w:r>
          </w:p>
        </w:tc>
        <w:tc>
          <w:tcPr>
            <w:tcW w:w="1504" w:type="pct"/>
          </w:tcPr>
          <w:p w14:paraId="58475820" w14:textId="77777777" w:rsidR="00AF59FA" w:rsidRPr="002D42DB" w:rsidRDefault="00AF59FA" w:rsidP="00BA4971">
            <w:pPr>
              <w:rPr>
                <w:sz w:val="20"/>
                <w:szCs w:val="20"/>
              </w:rPr>
            </w:pPr>
            <w:r>
              <w:rPr>
                <w:sz w:val="20"/>
                <w:szCs w:val="20"/>
              </w:rPr>
              <w:t>G</w:t>
            </w:r>
            <w:r w:rsidRPr="00761AED">
              <w:rPr>
                <w:sz w:val="20"/>
                <w:szCs w:val="20"/>
              </w:rPr>
              <w:t>reater protection for surviving spouses, and made a number of</w:t>
            </w:r>
            <w:r>
              <w:rPr>
                <w:sz w:val="20"/>
                <w:szCs w:val="20"/>
              </w:rPr>
              <w:t xml:space="preserve"> </w:t>
            </w:r>
            <w:r w:rsidRPr="00761AED">
              <w:rPr>
                <w:sz w:val="20"/>
                <w:szCs w:val="20"/>
              </w:rPr>
              <w:t>amendments to pension provisions to increase access by women to pension</w:t>
            </w:r>
            <w:r>
              <w:rPr>
                <w:sz w:val="20"/>
                <w:szCs w:val="20"/>
              </w:rPr>
              <w:t xml:space="preserve"> </w:t>
            </w:r>
            <w:r w:rsidRPr="00761AED">
              <w:rPr>
                <w:sz w:val="20"/>
                <w:szCs w:val="20"/>
              </w:rPr>
              <w:t>coverage</w:t>
            </w:r>
          </w:p>
        </w:tc>
      </w:tr>
      <w:tr w:rsidR="00AF59FA" w:rsidRPr="002D42DB" w14:paraId="16429084" w14:textId="77777777" w:rsidTr="00AF59FA">
        <w:tc>
          <w:tcPr>
            <w:tcW w:w="618" w:type="pct"/>
          </w:tcPr>
          <w:p w14:paraId="337D4A58" w14:textId="77777777" w:rsidR="00AF59FA" w:rsidRDefault="00AF59FA" w:rsidP="00BA4971">
            <w:pPr>
              <w:rPr>
                <w:sz w:val="20"/>
                <w:szCs w:val="20"/>
              </w:rPr>
            </w:pPr>
          </w:p>
        </w:tc>
        <w:tc>
          <w:tcPr>
            <w:tcW w:w="595" w:type="pct"/>
          </w:tcPr>
          <w:p w14:paraId="6899D39B" w14:textId="77777777" w:rsidR="00AF59FA" w:rsidRDefault="00AF59FA" w:rsidP="00BA4971">
            <w:pPr>
              <w:rPr>
                <w:sz w:val="20"/>
                <w:szCs w:val="20"/>
              </w:rPr>
            </w:pPr>
          </w:p>
        </w:tc>
        <w:tc>
          <w:tcPr>
            <w:tcW w:w="442" w:type="pct"/>
          </w:tcPr>
          <w:p w14:paraId="7057BFA4" w14:textId="77777777" w:rsidR="00AF59FA" w:rsidRPr="002D42DB" w:rsidRDefault="00AF59FA" w:rsidP="00BA4971">
            <w:pPr>
              <w:rPr>
                <w:sz w:val="20"/>
                <w:szCs w:val="20"/>
              </w:rPr>
            </w:pPr>
            <w:r>
              <w:rPr>
                <w:sz w:val="20"/>
                <w:szCs w:val="20"/>
              </w:rPr>
              <w:t>914</w:t>
            </w:r>
          </w:p>
        </w:tc>
        <w:tc>
          <w:tcPr>
            <w:tcW w:w="1841" w:type="pct"/>
          </w:tcPr>
          <w:p w14:paraId="715FEAB7" w14:textId="77777777" w:rsidR="00AF59FA" w:rsidRPr="0077011E" w:rsidRDefault="00AF59FA" w:rsidP="00BA4971">
            <w:pPr>
              <w:numPr>
                <w:ilvl w:val="0"/>
                <w:numId w:val="1"/>
              </w:numPr>
              <w:rPr>
                <w:i/>
                <w:sz w:val="20"/>
                <w:szCs w:val="20"/>
              </w:rPr>
            </w:pPr>
            <w:r w:rsidRPr="0077011E">
              <w:rPr>
                <w:i/>
                <w:sz w:val="20"/>
                <w:szCs w:val="20"/>
              </w:rPr>
              <w:t>Day Nurseries Act</w:t>
            </w:r>
            <w:r>
              <w:rPr>
                <w:i/>
                <w:sz w:val="20"/>
                <w:szCs w:val="20"/>
              </w:rPr>
              <w:t>, 1990</w:t>
            </w:r>
            <w:r w:rsidRPr="0077011E">
              <w:rPr>
                <w:i/>
                <w:sz w:val="20"/>
                <w:szCs w:val="20"/>
              </w:rPr>
              <w:t xml:space="preserve"> </w:t>
            </w:r>
          </w:p>
          <w:p w14:paraId="07BC5D4E" w14:textId="77777777" w:rsidR="00AF59FA" w:rsidRDefault="00AF59FA" w:rsidP="00BA4971">
            <w:pPr>
              <w:rPr>
                <w:sz w:val="20"/>
                <w:szCs w:val="20"/>
              </w:rPr>
            </w:pPr>
          </w:p>
        </w:tc>
        <w:tc>
          <w:tcPr>
            <w:tcW w:w="1504" w:type="pct"/>
          </w:tcPr>
          <w:p w14:paraId="60541F53" w14:textId="2643B636" w:rsidR="00AF59FA" w:rsidRPr="00761AED" w:rsidRDefault="002141D7" w:rsidP="00BA4971">
            <w:pPr>
              <w:rPr>
                <w:sz w:val="20"/>
                <w:szCs w:val="20"/>
              </w:rPr>
            </w:pPr>
            <w:r>
              <w:rPr>
                <w:sz w:val="20"/>
                <w:szCs w:val="20"/>
              </w:rPr>
              <w:t>P</w:t>
            </w:r>
            <w:r w:rsidR="00AF59FA" w:rsidRPr="0077011E">
              <w:rPr>
                <w:sz w:val="20"/>
                <w:szCs w:val="20"/>
              </w:rPr>
              <w:t>ermits payment of fee subsidies to parents of</w:t>
            </w:r>
            <w:r w:rsidR="00AF59FA">
              <w:rPr>
                <w:sz w:val="20"/>
                <w:szCs w:val="20"/>
              </w:rPr>
              <w:t xml:space="preserve"> </w:t>
            </w:r>
            <w:r w:rsidR="00AF59FA" w:rsidRPr="0077011E">
              <w:rPr>
                <w:sz w:val="20"/>
                <w:szCs w:val="20"/>
              </w:rPr>
              <w:t>children not of common parentage deemed to be "in need"</w:t>
            </w:r>
          </w:p>
        </w:tc>
      </w:tr>
      <w:tr w:rsidR="00AF59FA" w:rsidRPr="002D42DB" w14:paraId="03E74E26" w14:textId="77777777" w:rsidTr="00AF59FA">
        <w:tc>
          <w:tcPr>
            <w:tcW w:w="618" w:type="pct"/>
          </w:tcPr>
          <w:p w14:paraId="12AED7DF" w14:textId="0CCB6F03" w:rsidR="00AF59FA" w:rsidRDefault="00ED1050" w:rsidP="00BA4971">
            <w:pPr>
              <w:rPr>
                <w:sz w:val="20"/>
                <w:szCs w:val="20"/>
              </w:rPr>
            </w:pPr>
            <w:hyperlink r:id="rId10" w:history="1">
              <w:r w:rsidR="00AF59FA" w:rsidRPr="00ED1050">
                <w:rPr>
                  <w:rStyle w:val="Hyperlink"/>
                  <w:sz w:val="20"/>
                  <w:szCs w:val="20"/>
                </w:rPr>
                <w:t>Third, 1997</w:t>
              </w:r>
            </w:hyperlink>
          </w:p>
        </w:tc>
        <w:tc>
          <w:tcPr>
            <w:tcW w:w="595" w:type="pct"/>
          </w:tcPr>
          <w:p w14:paraId="589C372A" w14:textId="77777777" w:rsidR="00AF59FA" w:rsidRDefault="00AF59FA" w:rsidP="00BA4971">
            <w:pPr>
              <w:rPr>
                <w:sz w:val="20"/>
                <w:szCs w:val="20"/>
              </w:rPr>
            </w:pPr>
            <w:r>
              <w:rPr>
                <w:sz w:val="20"/>
                <w:szCs w:val="20"/>
              </w:rPr>
              <w:t>Article 11</w:t>
            </w:r>
          </w:p>
        </w:tc>
        <w:tc>
          <w:tcPr>
            <w:tcW w:w="442" w:type="pct"/>
          </w:tcPr>
          <w:p w14:paraId="7BFD2616" w14:textId="77777777" w:rsidR="00AF59FA" w:rsidRDefault="00AF59FA" w:rsidP="00BA4971">
            <w:pPr>
              <w:rPr>
                <w:sz w:val="20"/>
                <w:szCs w:val="20"/>
              </w:rPr>
            </w:pPr>
            <w:r>
              <w:rPr>
                <w:sz w:val="20"/>
                <w:szCs w:val="20"/>
              </w:rPr>
              <w:t>934-949</w:t>
            </w:r>
          </w:p>
        </w:tc>
        <w:tc>
          <w:tcPr>
            <w:tcW w:w="1841" w:type="pct"/>
          </w:tcPr>
          <w:p w14:paraId="39AB2669" w14:textId="77777777" w:rsidR="00AF59FA" w:rsidRDefault="00AF59FA" w:rsidP="00BA4971">
            <w:pPr>
              <w:rPr>
                <w:b/>
                <w:sz w:val="20"/>
                <w:szCs w:val="20"/>
              </w:rPr>
            </w:pPr>
            <w:r w:rsidRPr="003015A5">
              <w:rPr>
                <w:b/>
                <w:sz w:val="20"/>
                <w:szCs w:val="20"/>
              </w:rPr>
              <w:t>Housing</w:t>
            </w:r>
          </w:p>
          <w:p w14:paraId="75ED4CE7" w14:textId="17E75AB1" w:rsidR="00AF59FA" w:rsidRDefault="00AF59FA" w:rsidP="00BA4971">
            <w:pPr>
              <w:numPr>
                <w:ilvl w:val="0"/>
                <w:numId w:val="1"/>
              </w:numPr>
              <w:rPr>
                <w:sz w:val="20"/>
                <w:szCs w:val="20"/>
              </w:rPr>
            </w:pPr>
            <w:r w:rsidRPr="00276424">
              <w:rPr>
                <w:i/>
                <w:sz w:val="20"/>
                <w:szCs w:val="20"/>
              </w:rPr>
              <w:t>Landlord and Tenant Act</w:t>
            </w:r>
            <w:r>
              <w:rPr>
                <w:sz w:val="20"/>
                <w:szCs w:val="20"/>
              </w:rPr>
              <w:t xml:space="preserve"> (Part IV) (1994 amendments) </w:t>
            </w:r>
            <w:r w:rsidR="00884637">
              <w:rPr>
                <w:sz w:val="20"/>
                <w:szCs w:val="20"/>
              </w:rPr>
              <w:t>(para 934-935)</w:t>
            </w:r>
          </w:p>
          <w:p w14:paraId="2BAC340D" w14:textId="218F08DA" w:rsidR="00AF59FA" w:rsidRDefault="00AF59FA" w:rsidP="00BA4971">
            <w:pPr>
              <w:numPr>
                <w:ilvl w:val="0"/>
                <w:numId w:val="1"/>
              </w:numPr>
              <w:rPr>
                <w:sz w:val="20"/>
                <w:szCs w:val="20"/>
              </w:rPr>
            </w:pPr>
            <w:r w:rsidRPr="00276424">
              <w:rPr>
                <w:i/>
                <w:sz w:val="20"/>
                <w:szCs w:val="20"/>
              </w:rPr>
              <w:t>Mortgages Act</w:t>
            </w:r>
            <w:r>
              <w:rPr>
                <w:sz w:val="20"/>
                <w:szCs w:val="20"/>
              </w:rPr>
              <w:t xml:space="preserve"> (amendements)</w:t>
            </w:r>
            <w:r w:rsidR="00884637">
              <w:rPr>
                <w:sz w:val="20"/>
                <w:szCs w:val="20"/>
              </w:rPr>
              <w:t xml:space="preserve"> (para 936)</w:t>
            </w:r>
          </w:p>
          <w:p w14:paraId="0855B390" w14:textId="224F14B3" w:rsidR="00AF59FA" w:rsidRDefault="00AF59FA" w:rsidP="00BA4971">
            <w:pPr>
              <w:numPr>
                <w:ilvl w:val="0"/>
                <w:numId w:val="1"/>
              </w:numPr>
              <w:rPr>
                <w:sz w:val="20"/>
                <w:szCs w:val="20"/>
              </w:rPr>
            </w:pPr>
            <w:r w:rsidRPr="00276424">
              <w:rPr>
                <w:i/>
                <w:sz w:val="20"/>
                <w:szCs w:val="20"/>
              </w:rPr>
              <w:t>Rental Housing Protection Act</w:t>
            </w:r>
            <w:r>
              <w:rPr>
                <w:sz w:val="20"/>
                <w:szCs w:val="20"/>
              </w:rPr>
              <w:t xml:space="preserve"> (1994 amendments)</w:t>
            </w:r>
            <w:r w:rsidR="00884637">
              <w:rPr>
                <w:sz w:val="20"/>
                <w:szCs w:val="20"/>
              </w:rPr>
              <w:t xml:space="preserve"> (para 937)</w:t>
            </w:r>
          </w:p>
          <w:p w14:paraId="5AD650CF" w14:textId="302FFA9C" w:rsidR="00AF59FA" w:rsidRDefault="00AF59FA" w:rsidP="00BA4971">
            <w:pPr>
              <w:numPr>
                <w:ilvl w:val="0"/>
                <w:numId w:val="1"/>
              </w:numPr>
              <w:rPr>
                <w:sz w:val="20"/>
                <w:szCs w:val="20"/>
              </w:rPr>
            </w:pPr>
            <w:r w:rsidRPr="00EA6508">
              <w:rPr>
                <w:i/>
                <w:sz w:val="20"/>
                <w:szCs w:val="20"/>
              </w:rPr>
              <w:t>Rent Control Act</w:t>
            </w:r>
            <w:r w:rsidRPr="00EA6508">
              <w:rPr>
                <w:sz w:val="20"/>
                <w:szCs w:val="20"/>
              </w:rPr>
              <w:t xml:space="preserve"> of 1992</w:t>
            </w:r>
            <w:r w:rsidR="00884637">
              <w:rPr>
                <w:sz w:val="20"/>
                <w:szCs w:val="20"/>
              </w:rPr>
              <w:t xml:space="preserve"> (para 938, 940)</w:t>
            </w:r>
          </w:p>
          <w:p w14:paraId="6AE70990" w14:textId="6711C7EF" w:rsidR="00AF59FA" w:rsidRDefault="00AF59FA" w:rsidP="00BA4971">
            <w:pPr>
              <w:numPr>
                <w:ilvl w:val="0"/>
                <w:numId w:val="1"/>
              </w:numPr>
              <w:rPr>
                <w:sz w:val="20"/>
                <w:szCs w:val="20"/>
              </w:rPr>
            </w:pPr>
            <w:r w:rsidRPr="00337C8E">
              <w:rPr>
                <w:i/>
                <w:sz w:val="20"/>
                <w:szCs w:val="20"/>
              </w:rPr>
              <w:t>Building Code Act</w:t>
            </w:r>
            <w:r w:rsidRPr="00096445">
              <w:rPr>
                <w:sz w:val="20"/>
                <w:szCs w:val="20"/>
              </w:rPr>
              <w:t xml:space="preserve"> (BCA) </w:t>
            </w:r>
            <w:r>
              <w:rPr>
                <w:sz w:val="20"/>
                <w:szCs w:val="20"/>
              </w:rPr>
              <w:t xml:space="preserve">(1993 amendments) </w:t>
            </w:r>
            <w:r w:rsidR="00884637">
              <w:rPr>
                <w:sz w:val="20"/>
                <w:szCs w:val="20"/>
              </w:rPr>
              <w:t xml:space="preserve"> </w:t>
            </w:r>
          </w:p>
          <w:p w14:paraId="4B750B05" w14:textId="3BAE03E5" w:rsidR="00AF59FA" w:rsidRPr="00B266BE" w:rsidRDefault="00AF59FA" w:rsidP="00BA4971">
            <w:pPr>
              <w:numPr>
                <w:ilvl w:val="0"/>
                <w:numId w:val="1"/>
              </w:numPr>
              <w:rPr>
                <w:i/>
                <w:sz w:val="20"/>
                <w:szCs w:val="20"/>
              </w:rPr>
            </w:pPr>
            <w:r w:rsidRPr="00B266BE">
              <w:rPr>
                <w:i/>
                <w:sz w:val="20"/>
                <w:szCs w:val="20"/>
              </w:rPr>
              <w:t xml:space="preserve">Ontario Human Rights Code </w:t>
            </w:r>
            <w:r w:rsidR="00884637">
              <w:rPr>
                <w:sz w:val="20"/>
                <w:szCs w:val="20"/>
              </w:rPr>
              <w:t>(para 941)</w:t>
            </w:r>
          </w:p>
          <w:p w14:paraId="64349E93" w14:textId="2CC7B00B" w:rsidR="00AF59FA" w:rsidRDefault="00AF59FA" w:rsidP="00BA4971">
            <w:pPr>
              <w:numPr>
                <w:ilvl w:val="0"/>
                <w:numId w:val="1"/>
              </w:numPr>
              <w:rPr>
                <w:sz w:val="20"/>
                <w:szCs w:val="20"/>
              </w:rPr>
            </w:pPr>
            <w:r w:rsidRPr="00B266BE">
              <w:rPr>
                <w:i/>
                <w:sz w:val="20"/>
                <w:szCs w:val="20"/>
              </w:rPr>
              <w:t>Residents' Rights Act,</w:t>
            </w:r>
            <w:r w:rsidRPr="00B266BE">
              <w:rPr>
                <w:sz w:val="20"/>
                <w:szCs w:val="20"/>
              </w:rPr>
              <w:t xml:space="preserve"> 1994</w:t>
            </w:r>
            <w:r w:rsidR="00090014">
              <w:rPr>
                <w:sz w:val="20"/>
                <w:szCs w:val="20"/>
              </w:rPr>
              <w:t xml:space="preserve"> (para 942)</w:t>
            </w:r>
          </w:p>
          <w:p w14:paraId="51B44C7C" w14:textId="03B95F48" w:rsidR="00AF59FA" w:rsidRDefault="00AF59FA" w:rsidP="00BA4971">
            <w:pPr>
              <w:numPr>
                <w:ilvl w:val="0"/>
                <w:numId w:val="1"/>
              </w:numPr>
              <w:rPr>
                <w:sz w:val="20"/>
                <w:szCs w:val="20"/>
              </w:rPr>
            </w:pPr>
            <w:r w:rsidRPr="000A5780">
              <w:rPr>
                <w:sz w:val="20"/>
                <w:szCs w:val="20"/>
              </w:rPr>
              <w:t>JobsOntario Homes</w:t>
            </w:r>
            <w:r>
              <w:rPr>
                <w:sz w:val="20"/>
                <w:szCs w:val="20"/>
              </w:rPr>
              <w:t xml:space="preserve"> (</w:t>
            </w:r>
            <w:r w:rsidRPr="000A5780">
              <w:rPr>
                <w:sz w:val="20"/>
                <w:szCs w:val="20"/>
              </w:rPr>
              <w:t>non-profit programme</w:t>
            </w:r>
            <w:r>
              <w:rPr>
                <w:sz w:val="20"/>
                <w:szCs w:val="20"/>
              </w:rPr>
              <w:t>)</w:t>
            </w:r>
            <w:r w:rsidR="00090014">
              <w:rPr>
                <w:sz w:val="20"/>
                <w:szCs w:val="20"/>
              </w:rPr>
              <w:t xml:space="preserve"> (para 946)</w:t>
            </w:r>
          </w:p>
          <w:p w14:paraId="0CE71E25" w14:textId="798900A1" w:rsidR="00AF59FA" w:rsidRDefault="00AF59FA" w:rsidP="00BA4971">
            <w:pPr>
              <w:numPr>
                <w:ilvl w:val="0"/>
                <w:numId w:val="1"/>
              </w:numPr>
              <w:rPr>
                <w:sz w:val="20"/>
                <w:szCs w:val="20"/>
              </w:rPr>
            </w:pPr>
            <w:r w:rsidRPr="001D58BC">
              <w:rPr>
                <w:sz w:val="20"/>
                <w:szCs w:val="20"/>
              </w:rPr>
              <w:t>Community Partners programme</w:t>
            </w:r>
            <w:r w:rsidR="00090014">
              <w:rPr>
                <w:sz w:val="20"/>
                <w:szCs w:val="20"/>
              </w:rPr>
              <w:t xml:space="preserve"> (para 947)</w:t>
            </w:r>
          </w:p>
          <w:p w14:paraId="197C36E7" w14:textId="542366CE" w:rsidR="00AF59FA" w:rsidRPr="003015A5" w:rsidRDefault="00AF59FA" w:rsidP="00BA4971">
            <w:pPr>
              <w:numPr>
                <w:ilvl w:val="0"/>
                <w:numId w:val="1"/>
              </w:numPr>
              <w:rPr>
                <w:sz w:val="20"/>
                <w:szCs w:val="20"/>
              </w:rPr>
            </w:pPr>
            <w:r w:rsidRPr="001D58BC">
              <w:rPr>
                <w:sz w:val="20"/>
                <w:szCs w:val="20"/>
              </w:rPr>
              <w:t>Innovative Housing Project</w:t>
            </w:r>
            <w:r w:rsidR="00090014">
              <w:rPr>
                <w:sz w:val="20"/>
                <w:szCs w:val="20"/>
              </w:rPr>
              <w:t xml:space="preserve"> (</w:t>
            </w:r>
            <w:r w:rsidR="003B145C">
              <w:rPr>
                <w:sz w:val="20"/>
                <w:szCs w:val="20"/>
              </w:rPr>
              <w:t xml:space="preserve">para </w:t>
            </w:r>
            <w:r w:rsidR="00090014">
              <w:rPr>
                <w:sz w:val="20"/>
                <w:szCs w:val="20"/>
              </w:rPr>
              <w:t>949)</w:t>
            </w:r>
          </w:p>
        </w:tc>
        <w:tc>
          <w:tcPr>
            <w:tcW w:w="1504" w:type="pct"/>
          </w:tcPr>
          <w:p w14:paraId="4D52FE01" w14:textId="77777777" w:rsidR="00AF59FA" w:rsidRPr="0077011E" w:rsidRDefault="00AF59FA" w:rsidP="00BA4971">
            <w:pPr>
              <w:rPr>
                <w:sz w:val="20"/>
                <w:szCs w:val="20"/>
              </w:rPr>
            </w:pPr>
            <w:r>
              <w:rPr>
                <w:sz w:val="20"/>
                <w:szCs w:val="20"/>
              </w:rPr>
              <w:t>See paragraphs in report for description of acts.</w:t>
            </w:r>
          </w:p>
        </w:tc>
      </w:tr>
      <w:tr w:rsidR="00AF59FA" w:rsidRPr="002D42DB" w14:paraId="14454CD2" w14:textId="77777777" w:rsidTr="00AF59FA">
        <w:tc>
          <w:tcPr>
            <w:tcW w:w="618" w:type="pct"/>
          </w:tcPr>
          <w:p w14:paraId="5BADBCDA" w14:textId="2D2A3A30" w:rsidR="00AF59FA" w:rsidRPr="002D42DB" w:rsidRDefault="00ED1050" w:rsidP="00BA4971">
            <w:pPr>
              <w:rPr>
                <w:sz w:val="20"/>
                <w:szCs w:val="20"/>
              </w:rPr>
            </w:pPr>
            <w:hyperlink r:id="rId11" w:history="1">
              <w:r w:rsidR="00AF59FA" w:rsidRPr="00ED1050">
                <w:rPr>
                  <w:rStyle w:val="Hyperlink"/>
                  <w:sz w:val="20"/>
                  <w:szCs w:val="20"/>
                </w:rPr>
                <w:t>Fourth, 2004</w:t>
              </w:r>
            </w:hyperlink>
          </w:p>
        </w:tc>
        <w:tc>
          <w:tcPr>
            <w:tcW w:w="595" w:type="pct"/>
          </w:tcPr>
          <w:p w14:paraId="3332E81D" w14:textId="77777777" w:rsidR="00AF59FA" w:rsidRPr="002D42DB" w:rsidRDefault="00AF59FA" w:rsidP="00BA4971">
            <w:pPr>
              <w:rPr>
                <w:sz w:val="20"/>
                <w:szCs w:val="20"/>
              </w:rPr>
            </w:pPr>
            <w:r>
              <w:rPr>
                <w:sz w:val="20"/>
                <w:szCs w:val="20"/>
              </w:rPr>
              <w:t>Article 9</w:t>
            </w:r>
          </w:p>
        </w:tc>
        <w:tc>
          <w:tcPr>
            <w:tcW w:w="442" w:type="pct"/>
          </w:tcPr>
          <w:p w14:paraId="42FF701C" w14:textId="77777777" w:rsidR="00AF59FA" w:rsidRPr="002D42DB" w:rsidRDefault="00AF59FA" w:rsidP="00BA4971">
            <w:pPr>
              <w:rPr>
                <w:sz w:val="20"/>
                <w:szCs w:val="20"/>
              </w:rPr>
            </w:pPr>
            <w:r>
              <w:rPr>
                <w:sz w:val="20"/>
                <w:szCs w:val="20"/>
              </w:rPr>
              <w:t>1425-</w:t>
            </w:r>
            <w:r w:rsidRPr="002D42DB">
              <w:rPr>
                <w:sz w:val="20"/>
                <w:szCs w:val="20"/>
              </w:rPr>
              <w:t>46</w:t>
            </w:r>
          </w:p>
        </w:tc>
        <w:tc>
          <w:tcPr>
            <w:tcW w:w="1841" w:type="pct"/>
          </w:tcPr>
          <w:p w14:paraId="5C7CB843" w14:textId="77777777" w:rsidR="00AF59FA" w:rsidRPr="002D42DB" w:rsidRDefault="00AF59FA" w:rsidP="00BA4971">
            <w:pPr>
              <w:rPr>
                <w:sz w:val="20"/>
                <w:szCs w:val="20"/>
              </w:rPr>
            </w:pPr>
            <w:r w:rsidRPr="002D42DB">
              <w:rPr>
                <w:i/>
                <w:sz w:val="20"/>
                <w:szCs w:val="20"/>
              </w:rPr>
              <w:t>Social Assistance Reform Act</w:t>
            </w:r>
            <w:r w:rsidRPr="002D42DB">
              <w:rPr>
                <w:sz w:val="20"/>
                <w:szCs w:val="20"/>
              </w:rPr>
              <w:t>, 1997</w:t>
            </w:r>
          </w:p>
          <w:p w14:paraId="37B5D73B" w14:textId="77777777" w:rsidR="00AF59FA" w:rsidRPr="002D42DB" w:rsidRDefault="00AF59FA" w:rsidP="00BA4971">
            <w:pPr>
              <w:rPr>
                <w:sz w:val="20"/>
                <w:szCs w:val="20"/>
              </w:rPr>
            </w:pPr>
            <w:r w:rsidRPr="002D42DB">
              <w:rPr>
                <w:i/>
                <w:sz w:val="20"/>
                <w:szCs w:val="20"/>
              </w:rPr>
              <w:t>Ontario Works Act</w:t>
            </w:r>
            <w:r w:rsidRPr="002D42DB">
              <w:rPr>
                <w:sz w:val="20"/>
                <w:szCs w:val="20"/>
              </w:rPr>
              <w:t xml:space="preserve"> (OWA), 1997</w:t>
            </w:r>
          </w:p>
          <w:p w14:paraId="560EB3B2" w14:textId="77777777" w:rsidR="00AF59FA" w:rsidRPr="002D42DB" w:rsidRDefault="00AF59FA" w:rsidP="00BA4971">
            <w:pPr>
              <w:rPr>
                <w:sz w:val="20"/>
                <w:szCs w:val="20"/>
              </w:rPr>
            </w:pPr>
            <w:r w:rsidRPr="002D42DB">
              <w:rPr>
                <w:i/>
                <w:sz w:val="20"/>
                <w:szCs w:val="20"/>
              </w:rPr>
              <w:t>Ontario Disability Support Program Act</w:t>
            </w:r>
            <w:r w:rsidRPr="002D42DB">
              <w:rPr>
                <w:sz w:val="20"/>
                <w:szCs w:val="20"/>
              </w:rPr>
              <w:t xml:space="preserve"> (ODSPA)</w:t>
            </w:r>
          </w:p>
          <w:p w14:paraId="0D109586" w14:textId="195695C0" w:rsidR="00AF59FA" w:rsidRPr="002D42DB" w:rsidRDefault="00AF59FA" w:rsidP="00BA4971">
            <w:pPr>
              <w:rPr>
                <w:sz w:val="20"/>
                <w:szCs w:val="20"/>
              </w:rPr>
            </w:pPr>
            <w:r w:rsidRPr="002D42DB">
              <w:rPr>
                <w:sz w:val="20"/>
                <w:szCs w:val="20"/>
              </w:rPr>
              <w:t>Ontario Works Program</w:t>
            </w:r>
          </w:p>
          <w:p w14:paraId="5044F1B2" w14:textId="29BBA864" w:rsidR="00AF59FA" w:rsidRPr="002D42DB" w:rsidRDefault="00AF59FA" w:rsidP="00BA4971">
            <w:pPr>
              <w:rPr>
                <w:i/>
                <w:sz w:val="20"/>
                <w:szCs w:val="20"/>
              </w:rPr>
            </w:pPr>
            <w:r w:rsidRPr="002D42DB">
              <w:rPr>
                <w:sz w:val="20"/>
                <w:szCs w:val="20"/>
              </w:rPr>
              <w:t>Ontario Disability Support Program (ODSP)</w:t>
            </w:r>
          </w:p>
        </w:tc>
        <w:tc>
          <w:tcPr>
            <w:tcW w:w="1504" w:type="pct"/>
          </w:tcPr>
          <w:p w14:paraId="7FF92675" w14:textId="77777777" w:rsidR="00AF59FA" w:rsidRPr="002D42DB" w:rsidRDefault="00AF59FA" w:rsidP="00BA4971">
            <w:pPr>
              <w:rPr>
                <w:sz w:val="20"/>
                <w:szCs w:val="20"/>
              </w:rPr>
            </w:pPr>
            <w:r w:rsidRPr="002D42DB">
              <w:rPr>
                <w:i/>
                <w:sz w:val="20"/>
                <w:szCs w:val="20"/>
              </w:rPr>
              <w:t>Social Assistance Reform Act</w:t>
            </w:r>
            <w:r w:rsidRPr="002D42DB">
              <w:rPr>
                <w:sz w:val="20"/>
                <w:szCs w:val="20"/>
              </w:rPr>
              <w:t xml:space="preserve">, 1997, created </w:t>
            </w:r>
            <w:r w:rsidRPr="002D42DB">
              <w:rPr>
                <w:i/>
                <w:sz w:val="20"/>
                <w:szCs w:val="20"/>
              </w:rPr>
              <w:t>Ontario Works Act</w:t>
            </w:r>
            <w:r w:rsidRPr="002D42DB">
              <w:rPr>
                <w:sz w:val="20"/>
                <w:szCs w:val="20"/>
              </w:rPr>
              <w:t xml:space="preserve"> (OWA), 1997, and the </w:t>
            </w:r>
            <w:r w:rsidRPr="002D42DB">
              <w:rPr>
                <w:i/>
                <w:sz w:val="20"/>
                <w:szCs w:val="20"/>
              </w:rPr>
              <w:t>Ontario Disability Support Program Act</w:t>
            </w:r>
            <w:r w:rsidRPr="002D42DB">
              <w:rPr>
                <w:sz w:val="20"/>
                <w:szCs w:val="20"/>
              </w:rPr>
              <w:t xml:space="preserve"> (ODSPA), 1997. The OWA replaces the </w:t>
            </w:r>
            <w:r w:rsidRPr="002D42DB">
              <w:rPr>
                <w:i/>
                <w:sz w:val="20"/>
                <w:szCs w:val="20"/>
              </w:rPr>
              <w:t>General Welfare Act</w:t>
            </w:r>
            <w:r w:rsidRPr="002D42DB">
              <w:rPr>
                <w:sz w:val="20"/>
                <w:szCs w:val="20"/>
              </w:rPr>
              <w:t xml:space="preserve"> (GWA). People with disabilities and permanently unemployable people have been transferred from the </w:t>
            </w:r>
            <w:r w:rsidRPr="002D42DB">
              <w:rPr>
                <w:i/>
                <w:sz w:val="20"/>
                <w:szCs w:val="20"/>
              </w:rPr>
              <w:t>Family Benefits Act</w:t>
            </w:r>
            <w:r w:rsidRPr="002D42DB">
              <w:rPr>
                <w:sz w:val="20"/>
                <w:szCs w:val="20"/>
              </w:rPr>
              <w:t xml:space="preserve"> to the Ontario Disability Support Program. Sole-support parents under FBA have been transferred to Ontario Works.</w:t>
            </w:r>
          </w:p>
        </w:tc>
      </w:tr>
      <w:tr w:rsidR="00AF59FA" w:rsidRPr="002D42DB" w14:paraId="79E533DD" w14:textId="77777777" w:rsidTr="00AF59FA">
        <w:tc>
          <w:tcPr>
            <w:tcW w:w="618" w:type="pct"/>
          </w:tcPr>
          <w:p w14:paraId="41A0C092" w14:textId="406A3435" w:rsidR="00AF59FA" w:rsidRPr="002D42DB" w:rsidRDefault="00ED1050" w:rsidP="00BA4971">
            <w:pPr>
              <w:rPr>
                <w:sz w:val="20"/>
                <w:szCs w:val="20"/>
              </w:rPr>
            </w:pPr>
            <w:hyperlink r:id="rId12" w:history="1">
              <w:r w:rsidR="00AF59FA" w:rsidRPr="00ED1050">
                <w:rPr>
                  <w:rStyle w:val="Hyperlink"/>
                  <w:sz w:val="20"/>
                  <w:szCs w:val="20"/>
                </w:rPr>
                <w:t>Fourth, 2004</w:t>
              </w:r>
            </w:hyperlink>
          </w:p>
        </w:tc>
        <w:tc>
          <w:tcPr>
            <w:tcW w:w="595" w:type="pct"/>
          </w:tcPr>
          <w:p w14:paraId="4F08884A" w14:textId="77777777" w:rsidR="00AF59FA" w:rsidRPr="002D42DB" w:rsidRDefault="00AF59FA" w:rsidP="00BA4971">
            <w:pPr>
              <w:rPr>
                <w:sz w:val="20"/>
                <w:szCs w:val="20"/>
              </w:rPr>
            </w:pPr>
            <w:r w:rsidRPr="002D42DB">
              <w:rPr>
                <w:sz w:val="20"/>
                <w:szCs w:val="20"/>
              </w:rPr>
              <w:t>Article 11</w:t>
            </w:r>
          </w:p>
        </w:tc>
        <w:tc>
          <w:tcPr>
            <w:tcW w:w="442" w:type="pct"/>
          </w:tcPr>
          <w:p w14:paraId="15616444" w14:textId="7C7E64A0" w:rsidR="00AF59FA" w:rsidRPr="002D42DB" w:rsidRDefault="00884637" w:rsidP="00BA4971">
            <w:pPr>
              <w:rPr>
                <w:sz w:val="20"/>
                <w:szCs w:val="20"/>
              </w:rPr>
            </w:pPr>
            <w:r>
              <w:rPr>
                <w:sz w:val="20"/>
                <w:szCs w:val="20"/>
              </w:rPr>
              <w:t>1470</w:t>
            </w:r>
            <w:r w:rsidR="00AF59FA">
              <w:rPr>
                <w:sz w:val="20"/>
                <w:szCs w:val="20"/>
              </w:rPr>
              <w:t>-71</w:t>
            </w:r>
          </w:p>
        </w:tc>
        <w:tc>
          <w:tcPr>
            <w:tcW w:w="1841" w:type="pct"/>
          </w:tcPr>
          <w:p w14:paraId="54502EF6" w14:textId="77777777" w:rsidR="00AF59FA" w:rsidRPr="002D42DB" w:rsidRDefault="00AF59FA" w:rsidP="00BA4971">
            <w:pPr>
              <w:rPr>
                <w:b/>
                <w:sz w:val="20"/>
                <w:szCs w:val="20"/>
              </w:rPr>
            </w:pPr>
            <w:r>
              <w:rPr>
                <w:b/>
                <w:sz w:val="20"/>
                <w:szCs w:val="20"/>
              </w:rPr>
              <w:t>Social Assistance:</w:t>
            </w:r>
          </w:p>
          <w:p w14:paraId="23267E4B" w14:textId="1F37BC4D" w:rsidR="00AF59FA" w:rsidRDefault="00AF59FA" w:rsidP="00AF59FA">
            <w:pPr>
              <w:numPr>
                <w:ilvl w:val="0"/>
                <w:numId w:val="2"/>
              </w:numPr>
              <w:rPr>
                <w:sz w:val="20"/>
                <w:szCs w:val="20"/>
              </w:rPr>
            </w:pPr>
            <w:r>
              <w:rPr>
                <w:sz w:val="20"/>
                <w:szCs w:val="20"/>
              </w:rPr>
              <w:t>Ontario Works</w:t>
            </w:r>
            <w:r w:rsidR="00FE5181">
              <w:rPr>
                <w:sz w:val="20"/>
                <w:szCs w:val="20"/>
              </w:rPr>
              <w:t xml:space="preserve"> (OW)</w:t>
            </w:r>
          </w:p>
          <w:p w14:paraId="16C7BE71" w14:textId="77777777" w:rsidR="00AF59FA" w:rsidRPr="00BA0E69" w:rsidRDefault="00AF59FA" w:rsidP="00AF59FA">
            <w:pPr>
              <w:numPr>
                <w:ilvl w:val="0"/>
                <w:numId w:val="2"/>
              </w:numPr>
              <w:rPr>
                <w:sz w:val="20"/>
                <w:szCs w:val="20"/>
              </w:rPr>
            </w:pPr>
            <w:r w:rsidRPr="00BA0E69">
              <w:rPr>
                <w:sz w:val="20"/>
                <w:szCs w:val="20"/>
              </w:rPr>
              <w:t>Ontario Disability Support Program (ODSP)</w:t>
            </w:r>
          </w:p>
        </w:tc>
        <w:tc>
          <w:tcPr>
            <w:tcW w:w="1504" w:type="pct"/>
          </w:tcPr>
          <w:p w14:paraId="07E1BB90" w14:textId="77777777" w:rsidR="00AF59FA" w:rsidRPr="002D42DB" w:rsidRDefault="00AF59FA" w:rsidP="00BA4971">
            <w:pPr>
              <w:rPr>
                <w:sz w:val="20"/>
                <w:szCs w:val="20"/>
              </w:rPr>
            </w:pPr>
            <w:r>
              <w:rPr>
                <w:sz w:val="20"/>
                <w:szCs w:val="20"/>
              </w:rPr>
              <w:t xml:space="preserve">Mention that remittance rates in Ontario for both programs are, on average, significantly higher (22%) than for other provinces. </w:t>
            </w:r>
          </w:p>
        </w:tc>
      </w:tr>
      <w:tr w:rsidR="00AF59FA" w:rsidRPr="002D42DB" w14:paraId="36C19010" w14:textId="77777777" w:rsidTr="00AF59FA">
        <w:tc>
          <w:tcPr>
            <w:tcW w:w="618" w:type="pct"/>
          </w:tcPr>
          <w:p w14:paraId="69039A19" w14:textId="77777777" w:rsidR="00AF59FA" w:rsidRPr="002D42DB" w:rsidRDefault="00AF59FA" w:rsidP="00BA4971">
            <w:pPr>
              <w:rPr>
                <w:sz w:val="20"/>
                <w:szCs w:val="20"/>
              </w:rPr>
            </w:pPr>
          </w:p>
        </w:tc>
        <w:tc>
          <w:tcPr>
            <w:tcW w:w="595" w:type="pct"/>
          </w:tcPr>
          <w:p w14:paraId="4A3B91D0" w14:textId="6D2BBE81" w:rsidR="00AF59FA" w:rsidRPr="002D42DB" w:rsidRDefault="003B145C" w:rsidP="00BA4971">
            <w:pPr>
              <w:rPr>
                <w:sz w:val="20"/>
                <w:szCs w:val="20"/>
              </w:rPr>
            </w:pPr>
            <w:r>
              <w:rPr>
                <w:sz w:val="20"/>
                <w:szCs w:val="20"/>
              </w:rPr>
              <w:t>Article 11</w:t>
            </w:r>
          </w:p>
        </w:tc>
        <w:tc>
          <w:tcPr>
            <w:tcW w:w="442" w:type="pct"/>
          </w:tcPr>
          <w:p w14:paraId="6A55C582" w14:textId="00B56561" w:rsidR="00AF59FA" w:rsidRPr="002D42DB" w:rsidRDefault="00C16418" w:rsidP="00BA4971">
            <w:pPr>
              <w:rPr>
                <w:sz w:val="20"/>
                <w:szCs w:val="20"/>
              </w:rPr>
            </w:pPr>
            <w:r>
              <w:rPr>
                <w:sz w:val="20"/>
                <w:szCs w:val="20"/>
              </w:rPr>
              <w:t>1472</w:t>
            </w:r>
            <w:r w:rsidR="00AF59FA">
              <w:rPr>
                <w:sz w:val="20"/>
                <w:szCs w:val="20"/>
              </w:rPr>
              <w:t>-</w:t>
            </w:r>
            <w:r>
              <w:rPr>
                <w:sz w:val="20"/>
                <w:szCs w:val="20"/>
              </w:rPr>
              <w:t>1511</w:t>
            </w:r>
          </w:p>
        </w:tc>
        <w:tc>
          <w:tcPr>
            <w:tcW w:w="1841" w:type="pct"/>
          </w:tcPr>
          <w:p w14:paraId="7786EA1C" w14:textId="77777777" w:rsidR="00AF59FA" w:rsidRDefault="00AF59FA" w:rsidP="00BA4971">
            <w:pPr>
              <w:rPr>
                <w:b/>
                <w:sz w:val="20"/>
                <w:szCs w:val="20"/>
              </w:rPr>
            </w:pPr>
            <w:r>
              <w:rPr>
                <w:b/>
                <w:sz w:val="20"/>
                <w:szCs w:val="20"/>
              </w:rPr>
              <w:t>Housing:</w:t>
            </w:r>
          </w:p>
          <w:p w14:paraId="0DD024DE" w14:textId="77777777" w:rsidR="00AF59FA" w:rsidRDefault="00AF59FA" w:rsidP="00AF59FA">
            <w:pPr>
              <w:numPr>
                <w:ilvl w:val="0"/>
                <w:numId w:val="3"/>
              </w:numPr>
              <w:rPr>
                <w:sz w:val="20"/>
                <w:szCs w:val="20"/>
              </w:rPr>
            </w:pPr>
            <w:r w:rsidRPr="00267555">
              <w:rPr>
                <w:sz w:val="20"/>
                <w:szCs w:val="20"/>
              </w:rPr>
              <w:t>Community Partners Program</w:t>
            </w:r>
            <w:r>
              <w:rPr>
                <w:sz w:val="20"/>
                <w:szCs w:val="20"/>
              </w:rPr>
              <w:t xml:space="preserve"> (para 1476)</w:t>
            </w:r>
          </w:p>
          <w:p w14:paraId="05231352" w14:textId="77777777" w:rsidR="00BA4971" w:rsidRDefault="00AF59FA" w:rsidP="00BA4971">
            <w:pPr>
              <w:numPr>
                <w:ilvl w:val="0"/>
                <w:numId w:val="3"/>
              </w:numPr>
              <w:rPr>
                <w:sz w:val="20"/>
                <w:szCs w:val="20"/>
              </w:rPr>
            </w:pPr>
            <w:r>
              <w:rPr>
                <w:i/>
                <w:sz w:val="20"/>
                <w:szCs w:val="20"/>
              </w:rPr>
              <w:t xml:space="preserve">Tenant Protection Act </w:t>
            </w:r>
            <w:r>
              <w:rPr>
                <w:sz w:val="20"/>
                <w:szCs w:val="20"/>
              </w:rPr>
              <w:t xml:space="preserve">(now the </w:t>
            </w:r>
            <w:r>
              <w:rPr>
                <w:i/>
                <w:sz w:val="20"/>
                <w:szCs w:val="20"/>
              </w:rPr>
              <w:t>Residential Tenancies Act</w:t>
            </w:r>
            <w:r>
              <w:rPr>
                <w:sz w:val="20"/>
                <w:szCs w:val="20"/>
              </w:rPr>
              <w:t>) (paras 1481-1484)</w:t>
            </w:r>
          </w:p>
          <w:p w14:paraId="2DA8ECE2" w14:textId="77777777" w:rsidR="00BA4971" w:rsidRDefault="00BA4971" w:rsidP="00BA4971">
            <w:pPr>
              <w:numPr>
                <w:ilvl w:val="0"/>
                <w:numId w:val="3"/>
              </w:numPr>
              <w:rPr>
                <w:sz w:val="20"/>
                <w:szCs w:val="20"/>
              </w:rPr>
            </w:pPr>
            <w:r>
              <w:rPr>
                <w:i/>
                <w:sz w:val="20"/>
                <w:szCs w:val="20"/>
              </w:rPr>
              <w:t xml:space="preserve">           </w:t>
            </w:r>
            <w:r w:rsidRPr="00BA4971">
              <w:rPr>
                <w:i/>
                <w:sz w:val="20"/>
                <w:szCs w:val="20"/>
              </w:rPr>
              <w:t xml:space="preserve"> </w:t>
            </w:r>
            <w:r w:rsidRPr="00BA4971">
              <w:rPr>
                <w:sz w:val="20"/>
                <w:szCs w:val="20"/>
              </w:rPr>
              <w:t>Ontario Rental Housing Tribunal (ORHT)</w:t>
            </w:r>
          </w:p>
          <w:p w14:paraId="44946781" w14:textId="77777777" w:rsidR="00BA4971" w:rsidRPr="00BA4971" w:rsidRDefault="00BA4971" w:rsidP="00BA4971">
            <w:pPr>
              <w:ind w:left="720"/>
              <w:rPr>
                <w:sz w:val="20"/>
                <w:szCs w:val="20"/>
              </w:rPr>
            </w:pPr>
            <w:r>
              <w:rPr>
                <w:sz w:val="20"/>
                <w:szCs w:val="20"/>
              </w:rPr>
              <w:t xml:space="preserve">            (para </w:t>
            </w:r>
            <w:r w:rsidR="008903F8">
              <w:rPr>
                <w:sz w:val="20"/>
                <w:szCs w:val="20"/>
              </w:rPr>
              <w:t>1482-1483)</w:t>
            </w:r>
          </w:p>
          <w:p w14:paraId="0C538BB2" w14:textId="77777777" w:rsidR="00BA4971" w:rsidRDefault="00BA4971" w:rsidP="00BA4971">
            <w:pPr>
              <w:ind w:left="720"/>
              <w:rPr>
                <w:sz w:val="20"/>
                <w:szCs w:val="20"/>
              </w:rPr>
            </w:pPr>
          </w:p>
          <w:p w14:paraId="7C22D83E" w14:textId="77777777" w:rsidR="00AF59FA" w:rsidRDefault="00AF59FA" w:rsidP="00AF59FA">
            <w:pPr>
              <w:numPr>
                <w:ilvl w:val="0"/>
                <w:numId w:val="3"/>
              </w:numPr>
              <w:rPr>
                <w:i/>
                <w:sz w:val="20"/>
                <w:szCs w:val="20"/>
              </w:rPr>
            </w:pPr>
            <w:r>
              <w:rPr>
                <w:i/>
                <w:sz w:val="20"/>
                <w:szCs w:val="20"/>
              </w:rPr>
              <w:t xml:space="preserve">Ontario Human Rights Code </w:t>
            </w:r>
            <w:r w:rsidR="00BA4971">
              <w:rPr>
                <w:sz w:val="20"/>
                <w:szCs w:val="20"/>
              </w:rPr>
              <w:t>(para 1477)</w:t>
            </w:r>
          </w:p>
          <w:p w14:paraId="6502A8AD" w14:textId="77777777" w:rsidR="00D572BC" w:rsidRPr="00D572BC" w:rsidRDefault="00AF59FA" w:rsidP="00AF59FA">
            <w:pPr>
              <w:numPr>
                <w:ilvl w:val="0"/>
                <w:numId w:val="3"/>
              </w:numPr>
              <w:rPr>
                <w:i/>
                <w:sz w:val="20"/>
                <w:szCs w:val="20"/>
              </w:rPr>
            </w:pPr>
            <w:r w:rsidRPr="00AF59FA">
              <w:rPr>
                <w:sz w:val="20"/>
                <w:szCs w:val="20"/>
              </w:rPr>
              <w:t xml:space="preserve">        Ontario Regulation 290/98 under the Code</w:t>
            </w:r>
          </w:p>
          <w:p w14:paraId="5FCEC5A5" w14:textId="58FDEDBE" w:rsidR="00AF59FA" w:rsidRPr="00AF59FA" w:rsidRDefault="00D572BC" w:rsidP="00D572BC">
            <w:pPr>
              <w:ind w:left="720"/>
              <w:rPr>
                <w:i/>
                <w:sz w:val="20"/>
                <w:szCs w:val="20"/>
              </w:rPr>
            </w:pPr>
            <w:r>
              <w:rPr>
                <w:sz w:val="20"/>
                <w:szCs w:val="20"/>
              </w:rPr>
              <w:t xml:space="preserve">       </w:t>
            </w:r>
            <w:r w:rsidR="00AF59FA">
              <w:rPr>
                <w:sz w:val="20"/>
                <w:szCs w:val="20"/>
              </w:rPr>
              <w:t>(para 1492)</w:t>
            </w:r>
          </w:p>
          <w:p w14:paraId="1A81465A" w14:textId="77777777" w:rsidR="00AF59FA" w:rsidRPr="00AF59FA" w:rsidRDefault="00AF59FA" w:rsidP="00BA4971">
            <w:pPr>
              <w:rPr>
                <w:sz w:val="20"/>
                <w:szCs w:val="20"/>
              </w:rPr>
            </w:pPr>
            <w:r w:rsidRPr="002616A9">
              <w:rPr>
                <w:i/>
                <w:sz w:val="20"/>
                <w:szCs w:val="20"/>
              </w:rPr>
              <w:t xml:space="preserve">Housing Development Act </w:t>
            </w:r>
            <w:r>
              <w:rPr>
                <w:sz w:val="20"/>
                <w:szCs w:val="20"/>
              </w:rPr>
              <w:t>(para 1478)</w:t>
            </w:r>
            <w:r w:rsidR="00BA4971">
              <w:rPr>
                <w:sz w:val="20"/>
                <w:szCs w:val="20"/>
              </w:rPr>
              <w:t xml:space="preserve"> </w:t>
            </w:r>
          </w:p>
          <w:p w14:paraId="6C74A463" w14:textId="77777777" w:rsidR="00AF59FA" w:rsidRPr="00BA4971" w:rsidRDefault="00AF59FA" w:rsidP="00BA4971">
            <w:pPr>
              <w:rPr>
                <w:sz w:val="20"/>
                <w:szCs w:val="20"/>
              </w:rPr>
            </w:pPr>
            <w:r w:rsidRPr="002616A9">
              <w:rPr>
                <w:i/>
                <w:sz w:val="20"/>
                <w:szCs w:val="20"/>
              </w:rPr>
              <w:t>Municipal Act</w:t>
            </w:r>
            <w:r>
              <w:rPr>
                <w:i/>
                <w:sz w:val="20"/>
                <w:szCs w:val="20"/>
              </w:rPr>
              <w:t xml:space="preserve"> </w:t>
            </w:r>
            <w:r w:rsidR="00BA4971">
              <w:rPr>
                <w:sz w:val="20"/>
                <w:szCs w:val="20"/>
              </w:rPr>
              <w:t>(para 1478)</w:t>
            </w:r>
          </w:p>
          <w:p w14:paraId="35D38E6C" w14:textId="489A6D97" w:rsidR="00AF59FA" w:rsidRPr="00D572BC" w:rsidRDefault="00AF59FA" w:rsidP="00BA4971">
            <w:pPr>
              <w:rPr>
                <w:sz w:val="20"/>
                <w:szCs w:val="20"/>
              </w:rPr>
            </w:pPr>
            <w:r w:rsidRPr="00B82E81">
              <w:rPr>
                <w:i/>
                <w:sz w:val="20"/>
                <w:szCs w:val="20"/>
              </w:rPr>
              <w:t>Fair Municipal Finance Act</w:t>
            </w:r>
            <w:r w:rsidR="00D572BC">
              <w:rPr>
                <w:sz w:val="20"/>
                <w:szCs w:val="20"/>
              </w:rPr>
              <w:t xml:space="preserve"> (para 1500) </w:t>
            </w:r>
          </w:p>
          <w:p w14:paraId="100B932A" w14:textId="4E5151E8" w:rsidR="00C16418" w:rsidRPr="00B82E81" w:rsidRDefault="00AF59FA" w:rsidP="00C16418">
            <w:pPr>
              <w:rPr>
                <w:i/>
                <w:sz w:val="20"/>
                <w:szCs w:val="20"/>
              </w:rPr>
            </w:pPr>
            <w:r w:rsidRPr="00BB3785">
              <w:rPr>
                <w:sz w:val="20"/>
                <w:szCs w:val="20"/>
              </w:rPr>
              <w:t>Provincial Homelessness Strategy</w:t>
            </w:r>
            <w:r w:rsidR="00C16418">
              <w:rPr>
                <w:sz w:val="20"/>
                <w:szCs w:val="20"/>
              </w:rPr>
              <w:t xml:space="preserve"> (paras 1503-1511)</w:t>
            </w:r>
          </w:p>
          <w:p w14:paraId="27196224" w14:textId="6ADC7FB1" w:rsidR="00AF59FA" w:rsidRPr="00B82E81" w:rsidRDefault="00AF59FA" w:rsidP="00BA4971">
            <w:pPr>
              <w:rPr>
                <w:i/>
                <w:sz w:val="20"/>
                <w:szCs w:val="20"/>
              </w:rPr>
            </w:pPr>
          </w:p>
        </w:tc>
        <w:tc>
          <w:tcPr>
            <w:tcW w:w="1504" w:type="pct"/>
          </w:tcPr>
          <w:p w14:paraId="13D6B52E" w14:textId="77777777" w:rsidR="00AF59FA" w:rsidRDefault="00AF59FA" w:rsidP="00BA4971">
            <w:pPr>
              <w:rPr>
                <w:sz w:val="20"/>
                <w:szCs w:val="20"/>
              </w:rPr>
            </w:pPr>
            <w:r>
              <w:rPr>
                <w:sz w:val="20"/>
                <w:szCs w:val="20"/>
              </w:rPr>
              <w:t>See paragraphs in report for description of acts.</w:t>
            </w:r>
          </w:p>
          <w:p w14:paraId="0530A89F" w14:textId="42E1C8AD" w:rsidR="00AF59FA" w:rsidRPr="002D42DB" w:rsidRDefault="00AF59FA" w:rsidP="00BA4971">
            <w:pPr>
              <w:rPr>
                <w:sz w:val="20"/>
                <w:szCs w:val="20"/>
              </w:rPr>
            </w:pPr>
          </w:p>
        </w:tc>
      </w:tr>
      <w:tr w:rsidR="003706F9" w:rsidRPr="002D42DB" w14:paraId="01CFF4ED" w14:textId="77777777" w:rsidTr="00AF59FA">
        <w:tc>
          <w:tcPr>
            <w:tcW w:w="618" w:type="pct"/>
          </w:tcPr>
          <w:p w14:paraId="3A65FEEC" w14:textId="2CBF1766" w:rsidR="003706F9" w:rsidRDefault="00ED1050" w:rsidP="00BA4971">
            <w:pPr>
              <w:rPr>
                <w:sz w:val="20"/>
                <w:szCs w:val="20"/>
              </w:rPr>
            </w:pPr>
            <w:hyperlink r:id="rId13" w:history="1">
              <w:r w:rsidR="003706F9" w:rsidRPr="00ED1050">
                <w:rPr>
                  <w:rStyle w:val="Hyperlink"/>
                  <w:sz w:val="20"/>
                  <w:szCs w:val="20"/>
                </w:rPr>
                <w:t>Fifth, 2005</w:t>
              </w:r>
            </w:hyperlink>
          </w:p>
        </w:tc>
        <w:tc>
          <w:tcPr>
            <w:tcW w:w="595" w:type="pct"/>
          </w:tcPr>
          <w:p w14:paraId="75F17E3F" w14:textId="4263C717" w:rsidR="003706F9" w:rsidRDefault="003706F9" w:rsidP="00BA4971">
            <w:pPr>
              <w:rPr>
                <w:sz w:val="20"/>
                <w:szCs w:val="20"/>
              </w:rPr>
            </w:pPr>
            <w:r>
              <w:rPr>
                <w:sz w:val="20"/>
                <w:szCs w:val="20"/>
              </w:rPr>
              <w:t>Article 9</w:t>
            </w:r>
          </w:p>
        </w:tc>
        <w:tc>
          <w:tcPr>
            <w:tcW w:w="442" w:type="pct"/>
          </w:tcPr>
          <w:p w14:paraId="4C8520E9" w14:textId="0404CEEC" w:rsidR="003706F9" w:rsidRPr="002D42DB" w:rsidRDefault="00344FE9" w:rsidP="00BA4971">
            <w:pPr>
              <w:rPr>
                <w:sz w:val="20"/>
                <w:szCs w:val="20"/>
              </w:rPr>
            </w:pPr>
            <w:r>
              <w:rPr>
                <w:sz w:val="20"/>
                <w:szCs w:val="20"/>
              </w:rPr>
              <w:t>327-333</w:t>
            </w:r>
          </w:p>
        </w:tc>
        <w:tc>
          <w:tcPr>
            <w:tcW w:w="1841" w:type="pct"/>
          </w:tcPr>
          <w:p w14:paraId="222A545D" w14:textId="4CF345AE" w:rsidR="003706F9" w:rsidRPr="003706F9" w:rsidRDefault="003706F9" w:rsidP="003706F9">
            <w:pPr>
              <w:rPr>
                <w:b/>
                <w:sz w:val="20"/>
                <w:szCs w:val="20"/>
              </w:rPr>
            </w:pPr>
            <w:r>
              <w:rPr>
                <w:b/>
                <w:sz w:val="20"/>
                <w:szCs w:val="20"/>
              </w:rPr>
              <w:t>Social Assistance</w:t>
            </w:r>
          </w:p>
          <w:p w14:paraId="1ADA26D0" w14:textId="77777777" w:rsidR="003706F9" w:rsidRDefault="003706F9" w:rsidP="003706F9">
            <w:pPr>
              <w:numPr>
                <w:ilvl w:val="0"/>
                <w:numId w:val="1"/>
              </w:numPr>
              <w:rPr>
                <w:sz w:val="20"/>
                <w:szCs w:val="20"/>
              </w:rPr>
            </w:pPr>
            <w:r>
              <w:rPr>
                <w:sz w:val="20"/>
                <w:szCs w:val="20"/>
              </w:rPr>
              <w:t>Ontario Works (OW)</w:t>
            </w:r>
          </w:p>
          <w:p w14:paraId="0BDF9169" w14:textId="3E0FBFD8" w:rsidR="003706F9" w:rsidRDefault="003706F9" w:rsidP="003706F9">
            <w:pPr>
              <w:numPr>
                <w:ilvl w:val="0"/>
                <w:numId w:val="1"/>
              </w:numPr>
              <w:rPr>
                <w:sz w:val="20"/>
                <w:szCs w:val="20"/>
              </w:rPr>
            </w:pPr>
            <w:r w:rsidRPr="00BA0E69">
              <w:rPr>
                <w:sz w:val="20"/>
                <w:szCs w:val="20"/>
              </w:rPr>
              <w:t>Ontario Disability Support Program (ODSP)</w:t>
            </w:r>
          </w:p>
          <w:p w14:paraId="2A4C6562" w14:textId="77777777" w:rsidR="003706F9" w:rsidRDefault="003706F9" w:rsidP="003706F9">
            <w:pPr>
              <w:ind w:left="360"/>
              <w:rPr>
                <w:b/>
                <w:sz w:val="20"/>
                <w:szCs w:val="20"/>
              </w:rPr>
            </w:pPr>
          </w:p>
        </w:tc>
        <w:tc>
          <w:tcPr>
            <w:tcW w:w="1504" w:type="pct"/>
          </w:tcPr>
          <w:p w14:paraId="7EFE00EC" w14:textId="5D872215" w:rsidR="003706F9" w:rsidRPr="003706F9" w:rsidRDefault="003706F9" w:rsidP="003706F9">
            <w:pPr>
              <w:rPr>
                <w:sz w:val="20"/>
                <w:szCs w:val="20"/>
              </w:rPr>
            </w:pPr>
            <w:r>
              <w:rPr>
                <w:sz w:val="20"/>
                <w:szCs w:val="20"/>
              </w:rPr>
              <w:t xml:space="preserve">Two changes were made to these social assistance programs since the last report: i) </w:t>
            </w:r>
            <w:r w:rsidRPr="003706F9">
              <w:rPr>
                <w:sz w:val="20"/>
                <w:szCs w:val="20"/>
              </w:rPr>
              <w:t xml:space="preserve">The government no longer treats grants, bursaries or registered education savings </w:t>
            </w:r>
            <w:r>
              <w:rPr>
                <w:sz w:val="20"/>
                <w:szCs w:val="20"/>
              </w:rPr>
              <w:t xml:space="preserve"> </w:t>
            </w:r>
          </w:p>
          <w:p w14:paraId="587D4CC3" w14:textId="77777777" w:rsidR="003706F9" w:rsidRDefault="003706F9" w:rsidP="003706F9">
            <w:pPr>
              <w:rPr>
                <w:sz w:val="20"/>
                <w:szCs w:val="20"/>
              </w:rPr>
            </w:pPr>
            <w:r w:rsidRPr="003706F9">
              <w:rPr>
                <w:sz w:val="20"/>
                <w:szCs w:val="20"/>
              </w:rPr>
              <w:t xml:space="preserve">plan funds as income and/or assets in </w:t>
            </w:r>
            <w:r>
              <w:rPr>
                <w:sz w:val="20"/>
                <w:szCs w:val="20"/>
              </w:rPr>
              <w:t xml:space="preserve">OW </w:t>
            </w:r>
            <w:r w:rsidRPr="003706F9">
              <w:rPr>
                <w:sz w:val="20"/>
                <w:szCs w:val="20"/>
              </w:rPr>
              <w:t>or the ODSP</w:t>
            </w:r>
            <w:r>
              <w:rPr>
                <w:sz w:val="20"/>
                <w:szCs w:val="20"/>
              </w:rPr>
              <w:t xml:space="preserve"> ii) </w:t>
            </w:r>
            <w:r w:rsidRPr="003706F9">
              <w:rPr>
                <w:sz w:val="20"/>
                <w:szCs w:val="20"/>
              </w:rPr>
              <w:t>The government has restored health benefits (i.e., Extended Health Benefit) for Ontario Works recipients transitioning to work so that high medical costs do not become a disincentive to employment.</w:t>
            </w:r>
          </w:p>
          <w:p w14:paraId="59F6B832" w14:textId="77777777" w:rsidR="00344FE9" w:rsidRDefault="00344FE9" w:rsidP="003706F9">
            <w:pPr>
              <w:rPr>
                <w:sz w:val="20"/>
                <w:szCs w:val="20"/>
              </w:rPr>
            </w:pPr>
          </w:p>
          <w:p w14:paraId="231AD1BF" w14:textId="77777777" w:rsidR="00344FE9" w:rsidRDefault="00344FE9" w:rsidP="00344FE9">
            <w:pPr>
              <w:rPr>
                <w:sz w:val="20"/>
                <w:szCs w:val="20"/>
              </w:rPr>
            </w:pPr>
            <w:r>
              <w:rPr>
                <w:sz w:val="20"/>
                <w:szCs w:val="20"/>
              </w:rPr>
              <w:t>In 2003 the government r</w:t>
            </w:r>
            <w:r w:rsidRPr="00344FE9">
              <w:rPr>
                <w:sz w:val="20"/>
                <w:szCs w:val="20"/>
              </w:rPr>
              <w:t>epealed the lifetime ban on social assistance</w:t>
            </w:r>
            <w:r>
              <w:rPr>
                <w:sz w:val="20"/>
                <w:szCs w:val="20"/>
              </w:rPr>
              <w:t xml:space="preserve"> </w:t>
            </w:r>
            <w:r w:rsidRPr="00344FE9">
              <w:rPr>
                <w:sz w:val="20"/>
                <w:szCs w:val="20"/>
              </w:rPr>
              <w:t>recipients in situations of fraud.</w:t>
            </w:r>
          </w:p>
          <w:p w14:paraId="56ED6361" w14:textId="77777777" w:rsidR="00344FE9" w:rsidRDefault="00344FE9" w:rsidP="00344FE9">
            <w:pPr>
              <w:rPr>
                <w:sz w:val="20"/>
                <w:szCs w:val="20"/>
              </w:rPr>
            </w:pPr>
          </w:p>
          <w:p w14:paraId="1E70AE10" w14:textId="5859B1BF" w:rsidR="00344FE9" w:rsidRPr="00344FE9" w:rsidRDefault="00344FE9" w:rsidP="00344FE9">
            <w:pPr>
              <w:rPr>
                <w:sz w:val="20"/>
                <w:szCs w:val="20"/>
              </w:rPr>
            </w:pPr>
            <w:r>
              <w:rPr>
                <w:sz w:val="20"/>
                <w:szCs w:val="20"/>
              </w:rPr>
              <w:t>In 2004 the g</w:t>
            </w:r>
            <w:r w:rsidRPr="00344FE9">
              <w:rPr>
                <w:sz w:val="20"/>
                <w:szCs w:val="20"/>
              </w:rPr>
              <w:t>overnment restored the pregnancy nutritional allowance for pregnant</w:t>
            </w:r>
            <w:r>
              <w:rPr>
                <w:sz w:val="20"/>
                <w:szCs w:val="20"/>
              </w:rPr>
              <w:t xml:space="preserve"> </w:t>
            </w:r>
          </w:p>
          <w:p w14:paraId="4FDA392B" w14:textId="63D2561B" w:rsidR="00344FE9" w:rsidRPr="00EC2996" w:rsidRDefault="00344FE9" w:rsidP="00344FE9">
            <w:pPr>
              <w:rPr>
                <w:sz w:val="20"/>
                <w:szCs w:val="20"/>
              </w:rPr>
            </w:pPr>
            <w:r w:rsidRPr="00344FE9">
              <w:rPr>
                <w:sz w:val="20"/>
                <w:szCs w:val="20"/>
              </w:rPr>
              <w:t>women on social assistance</w:t>
            </w:r>
          </w:p>
        </w:tc>
      </w:tr>
      <w:tr w:rsidR="00AF59FA" w:rsidRPr="002D42DB" w14:paraId="0C7E46B2" w14:textId="77777777" w:rsidTr="00AF59FA">
        <w:tc>
          <w:tcPr>
            <w:tcW w:w="618" w:type="pct"/>
          </w:tcPr>
          <w:p w14:paraId="3AC08769" w14:textId="42B98FEE" w:rsidR="00AF59FA" w:rsidRPr="002D42DB" w:rsidRDefault="00ED1050" w:rsidP="00BA4971">
            <w:pPr>
              <w:rPr>
                <w:sz w:val="20"/>
                <w:szCs w:val="20"/>
              </w:rPr>
            </w:pPr>
            <w:hyperlink r:id="rId14" w:history="1">
              <w:r w:rsidR="00AF59FA" w:rsidRPr="00ED1050">
                <w:rPr>
                  <w:rStyle w:val="Hyperlink"/>
                  <w:sz w:val="20"/>
                  <w:szCs w:val="20"/>
                </w:rPr>
                <w:t>Fifth, 2005</w:t>
              </w:r>
            </w:hyperlink>
          </w:p>
        </w:tc>
        <w:tc>
          <w:tcPr>
            <w:tcW w:w="595" w:type="pct"/>
          </w:tcPr>
          <w:p w14:paraId="07179992" w14:textId="77777777" w:rsidR="00AF59FA" w:rsidRPr="002D42DB" w:rsidRDefault="00AF59FA" w:rsidP="00BA4971">
            <w:pPr>
              <w:rPr>
                <w:sz w:val="20"/>
                <w:szCs w:val="20"/>
              </w:rPr>
            </w:pPr>
            <w:r>
              <w:rPr>
                <w:sz w:val="20"/>
                <w:szCs w:val="20"/>
              </w:rPr>
              <w:t>Article 9</w:t>
            </w:r>
          </w:p>
        </w:tc>
        <w:tc>
          <w:tcPr>
            <w:tcW w:w="442" w:type="pct"/>
          </w:tcPr>
          <w:p w14:paraId="2F6B2206" w14:textId="6E550E1F" w:rsidR="00AF59FA" w:rsidRPr="002D42DB" w:rsidRDefault="0084291C" w:rsidP="00BA4971">
            <w:pPr>
              <w:rPr>
                <w:sz w:val="20"/>
                <w:szCs w:val="20"/>
              </w:rPr>
            </w:pPr>
            <w:r>
              <w:rPr>
                <w:sz w:val="20"/>
                <w:szCs w:val="20"/>
              </w:rPr>
              <w:t>334-335</w:t>
            </w:r>
          </w:p>
        </w:tc>
        <w:tc>
          <w:tcPr>
            <w:tcW w:w="1841" w:type="pct"/>
          </w:tcPr>
          <w:p w14:paraId="3C050B8F" w14:textId="77777777" w:rsidR="00AF59FA" w:rsidRPr="00EC2996" w:rsidRDefault="00AF59FA" w:rsidP="00BA4971">
            <w:pPr>
              <w:rPr>
                <w:b/>
                <w:sz w:val="20"/>
                <w:szCs w:val="20"/>
              </w:rPr>
            </w:pPr>
            <w:r w:rsidRPr="00EC2996">
              <w:rPr>
                <w:b/>
                <w:sz w:val="20"/>
                <w:szCs w:val="20"/>
              </w:rPr>
              <w:t>Family-related benefits</w:t>
            </w:r>
          </w:p>
          <w:p w14:paraId="28993C73" w14:textId="362FB0C0" w:rsidR="00AF59FA" w:rsidRPr="00B408EF" w:rsidRDefault="00AF59FA" w:rsidP="00B408EF">
            <w:pPr>
              <w:pStyle w:val="ListParagraph"/>
              <w:numPr>
                <w:ilvl w:val="0"/>
                <w:numId w:val="1"/>
              </w:numPr>
              <w:rPr>
                <w:sz w:val="20"/>
                <w:szCs w:val="20"/>
              </w:rPr>
            </w:pPr>
            <w:r w:rsidRPr="00B408EF">
              <w:rPr>
                <w:sz w:val="20"/>
                <w:szCs w:val="20"/>
              </w:rPr>
              <w:t xml:space="preserve">Ontario Child Care Supplement for Working Families (OCCS) </w:t>
            </w:r>
          </w:p>
          <w:p w14:paraId="30312E91" w14:textId="5B1C78D9" w:rsidR="00AF59FA" w:rsidRPr="00CB752C" w:rsidRDefault="00AF59FA" w:rsidP="0084291C">
            <w:pPr>
              <w:rPr>
                <w:sz w:val="20"/>
                <w:szCs w:val="20"/>
              </w:rPr>
            </w:pPr>
          </w:p>
        </w:tc>
        <w:tc>
          <w:tcPr>
            <w:tcW w:w="1504" w:type="pct"/>
          </w:tcPr>
          <w:p w14:paraId="69D43190" w14:textId="77777777" w:rsidR="00AF59FA" w:rsidRPr="002D42DB" w:rsidRDefault="00AF59FA" w:rsidP="00BA4971">
            <w:pPr>
              <w:rPr>
                <w:sz w:val="20"/>
                <w:szCs w:val="20"/>
              </w:rPr>
            </w:pPr>
            <w:r w:rsidRPr="00EC2996">
              <w:rPr>
                <w:sz w:val="20"/>
                <w:szCs w:val="20"/>
              </w:rPr>
              <w:t>Ontario Child Care</w:t>
            </w:r>
            <w:r>
              <w:rPr>
                <w:sz w:val="20"/>
                <w:szCs w:val="20"/>
              </w:rPr>
              <w:t xml:space="preserve"> </w:t>
            </w:r>
            <w:r w:rsidRPr="00EC2996">
              <w:rPr>
                <w:sz w:val="20"/>
                <w:szCs w:val="20"/>
              </w:rPr>
              <w:t>Supplement for Working Families (OCCS) were increased by $210 per child to $1,310 annually.</w:t>
            </w:r>
            <w:r>
              <w:rPr>
                <w:sz w:val="20"/>
                <w:szCs w:val="20"/>
              </w:rPr>
              <w:t xml:space="preserve"> </w:t>
            </w:r>
            <w:r w:rsidRPr="00EC2996">
              <w:rPr>
                <w:sz w:val="20"/>
                <w:szCs w:val="20"/>
              </w:rPr>
              <w:t>This is expected to increase the labour force participation of single parents and reduce the depth</w:t>
            </w:r>
            <w:r>
              <w:rPr>
                <w:sz w:val="20"/>
                <w:szCs w:val="20"/>
              </w:rPr>
              <w:t xml:space="preserve"> </w:t>
            </w:r>
            <w:r w:rsidRPr="00EC2996">
              <w:rPr>
                <w:sz w:val="20"/>
                <w:szCs w:val="20"/>
              </w:rPr>
              <w:t>of low income among single-parent families.</w:t>
            </w:r>
          </w:p>
        </w:tc>
      </w:tr>
      <w:tr w:rsidR="00AF59FA" w:rsidRPr="002D42DB" w14:paraId="639B1DC7" w14:textId="77777777" w:rsidTr="00AF59FA">
        <w:tc>
          <w:tcPr>
            <w:tcW w:w="618" w:type="pct"/>
          </w:tcPr>
          <w:p w14:paraId="636AC4EC" w14:textId="18D7EEBB" w:rsidR="00AF59FA" w:rsidRPr="002D42DB" w:rsidRDefault="00ED1050" w:rsidP="00BA4971">
            <w:pPr>
              <w:rPr>
                <w:sz w:val="20"/>
                <w:szCs w:val="20"/>
              </w:rPr>
            </w:pPr>
            <w:hyperlink r:id="rId15" w:history="1">
              <w:r w:rsidR="00AF59FA" w:rsidRPr="00ED1050">
                <w:rPr>
                  <w:rStyle w:val="Hyperlink"/>
                  <w:sz w:val="20"/>
                  <w:szCs w:val="20"/>
                </w:rPr>
                <w:t>Fifth, 2005</w:t>
              </w:r>
            </w:hyperlink>
          </w:p>
        </w:tc>
        <w:tc>
          <w:tcPr>
            <w:tcW w:w="595" w:type="pct"/>
          </w:tcPr>
          <w:p w14:paraId="12117CA9" w14:textId="77777777" w:rsidR="00AF59FA" w:rsidRPr="002D42DB" w:rsidRDefault="00AF59FA" w:rsidP="00BA4971">
            <w:pPr>
              <w:rPr>
                <w:sz w:val="20"/>
                <w:szCs w:val="20"/>
              </w:rPr>
            </w:pPr>
            <w:r>
              <w:rPr>
                <w:sz w:val="20"/>
                <w:szCs w:val="20"/>
              </w:rPr>
              <w:t>Article 11</w:t>
            </w:r>
          </w:p>
        </w:tc>
        <w:tc>
          <w:tcPr>
            <w:tcW w:w="442" w:type="pct"/>
          </w:tcPr>
          <w:p w14:paraId="43E81A97" w14:textId="77777777" w:rsidR="00AF59FA" w:rsidRPr="002D42DB" w:rsidRDefault="00AF59FA" w:rsidP="00BA4971">
            <w:pPr>
              <w:rPr>
                <w:sz w:val="20"/>
                <w:szCs w:val="20"/>
              </w:rPr>
            </w:pPr>
          </w:p>
        </w:tc>
        <w:tc>
          <w:tcPr>
            <w:tcW w:w="1841" w:type="pct"/>
          </w:tcPr>
          <w:p w14:paraId="3A50D95D" w14:textId="77777777" w:rsidR="00AF59FA" w:rsidRPr="004F46E3" w:rsidRDefault="00AF59FA" w:rsidP="00BA4971">
            <w:pPr>
              <w:rPr>
                <w:b/>
                <w:sz w:val="20"/>
                <w:szCs w:val="20"/>
              </w:rPr>
            </w:pPr>
            <w:r w:rsidRPr="004F46E3">
              <w:rPr>
                <w:b/>
                <w:sz w:val="20"/>
                <w:szCs w:val="20"/>
              </w:rPr>
              <w:t>Housing</w:t>
            </w:r>
          </w:p>
          <w:p w14:paraId="4AAF9BB4" w14:textId="0618A0FB" w:rsidR="00AF59FA" w:rsidRDefault="000B6B11" w:rsidP="00BA4971">
            <w:pPr>
              <w:numPr>
                <w:ilvl w:val="0"/>
                <w:numId w:val="1"/>
              </w:numPr>
              <w:rPr>
                <w:sz w:val="20"/>
                <w:szCs w:val="20"/>
              </w:rPr>
            </w:pPr>
            <w:r>
              <w:rPr>
                <w:sz w:val="20"/>
                <w:szCs w:val="20"/>
              </w:rPr>
              <w:t>Supplementing</w:t>
            </w:r>
            <w:r w:rsidR="00AF59FA">
              <w:rPr>
                <w:sz w:val="20"/>
                <w:szCs w:val="20"/>
              </w:rPr>
              <w:t xml:space="preserve"> </w:t>
            </w:r>
            <w:r>
              <w:rPr>
                <w:sz w:val="20"/>
                <w:szCs w:val="20"/>
              </w:rPr>
              <w:t xml:space="preserve">existing homelessness </w:t>
            </w:r>
            <w:r w:rsidR="00AF59FA">
              <w:rPr>
                <w:sz w:val="20"/>
                <w:szCs w:val="20"/>
              </w:rPr>
              <w:t xml:space="preserve">programs by </w:t>
            </w:r>
            <w:r>
              <w:rPr>
                <w:sz w:val="20"/>
                <w:szCs w:val="20"/>
              </w:rPr>
              <w:t>$</w:t>
            </w:r>
            <w:r w:rsidR="00AF59FA">
              <w:rPr>
                <w:sz w:val="20"/>
                <w:szCs w:val="20"/>
              </w:rPr>
              <w:t>2 million</w:t>
            </w:r>
          </w:p>
          <w:p w14:paraId="4E7A16C3" w14:textId="77777777" w:rsidR="00AF59FA" w:rsidRPr="006D0BB0" w:rsidRDefault="00AF59FA" w:rsidP="00BA4971">
            <w:pPr>
              <w:numPr>
                <w:ilvl w:val="0"/>
                <w:numId w:val="1"/>
              </w:numPr>
              <w:rPr>
                <w:sz w:val="20"/>
                <w:szCs w:val="20"/>
              </w:rPr>
            </w:pPr>
            <w:r>
              <w:rPr>
                <w:sz w:val="20"/>
                <w:szCs w:val="20"/>
              </w:rPr>
              <w:t>Emergency fund to prevent forced evictions</w:t>
            </w:r>
          </w:p>
          <w:p w14:paraId="3CC81CD1" w14:textId="375EA1A8" w:rsidR="00AF59FA" w:rsidRPr="00184904" w:rsidRDefault="00AF59FA" w:rsidP="00BA4971">
            <w:pPr>
              <w:numPr>
                <w:ilvl w:val="0"/>
                <w:numId w:val="1"/>
              </w:numPr>
              <w:rPr>
                <w:sz w:val="20"/>
                <w:szCs w:val="20"/>
              </w:rPr>
            </w:pPr>
            <w:r w:rsidRPr="00523C07">
              <w:rPr>
                <w:sz w:val="20"/>
                <w:szCs w:val="20"/>
              </w:rPr>
              <w:t>Mental Health Homelessness Initiative</w:t>
            </w:r>
            <w:r>
              <w:rPr>
                <w:sz w:val="20"/>
                <w:szCs w:val="20"/>
              </w:rPr>
              <w:t xml:space="preserve"> – more supportive housing</w:t>
            </w:r>
            <w:r w:rsidR="000B6B11">
              <w:rPr>
                <w:sz w:val="20"/>
                <w:szCs w:val="20"/>
              </w:rPr>
              <w:t xml:space="preserve"> for the homeless</w:t>
            </w:r>
          </w:p>
        </w:tc>
        <w:tc>
          <w:tcPr>
            <w:tcW w:w="1504" w:type="pct"/>
          </w:tcPr>
          <w:p w14:paraId="64065FEE" w14:textId="4701C0C0" w:rsidR="00AF59FA" w:rsidRPr="006D0BB0" w:rsidRDefault="0025478A" w:rsidP="00E07D1E">
            <w:pPr>
              <w:rPr>
                <w:i/>
                <w:sz w:val="20"/>
                <w:szCs w:val="20"/>
              </w:rPr>
            </w:pPr>
            <w:r>
              <w:rPr>
                <w:i/>
                <w:sz w:val="20"/>
                <w:szCs w:val="20"/>
              </w:rPr>
              <w:t>Report lacks details.</w:t>
            </w:r>
            <w:r w:rsidR="00AF59FA">
              <w:rPr>
                <w:i/>
                <w:sz w:val="20"/>
                <w:szCs w:val="20"/>
              </w:rPr>
              <w:t xml:space="preserve"> Ontario Report on Article 1</w:t>
            </w:r>
            <w:r>
              <w:rPr>
                <w:i/>
                <w:sz w:val="20"/>
                <w:szCs w:val="20"/>
              </w:rPr>
              <w:t xml:space="preserve">1 less than 1 page long. </w:t>
            </w:r>
          </w:p>
        </w:tc>
      </w:tr>
    </w:tbl>
    <w:p w14:paraId="50D23FD9" w14:textId="77777777" w:rsidR="00AF59FA" w:rsidRDefault="00AF59FA" w:rsidP="00AF59FA">
      <w:pPr>
        <w:rPr>
          <w:sz w:val="20"/>
          <w:szCs w:val="20"/>
        </w:rPr>
      </w:pPr>
    </w:p>
    <w:p w14:paraId="2CE83888" w14:textId="77777777" w:rsidR="00AF59FA" w:rsidRPr="00791FD8" w:rsidRDefault="00AF59FA" w:rsidP="00AF59FA">
      <w:pPr>
        <w:rPr>
          <w:b/>
          <w:u w:val="single"/>
        </w:rPr>
      </w:pPr>
      <w:r w:rsidRPr="00791FD8">
        <w:rPr>
          <w:b/>
          <w:u w:val="single"/>
        </w:rPr>
        <w:t xml:space="preserve">Notes </w:t>
      </w:r>
    </w:p>
    <w:p w14:paraId="63CD84EF" w14:textId="77777777" w:rsidR="00AF59FA" w:rsidRPr="00791FD8" w:rsidRDefault="00AF59FA" w:rsidP="00AF59FA">
      <w:r>
        <w:t>1997</w:t>
      </w:r>
      <w:r w:rsidRPr="00791FD8">
        <w:t xml:space="preserve"> Report</w:t>
      </w:r>
      <w:r>
        <w:t xml:space="preserve"> (Third)</w:t>
      </w:r>
      <w:r w:rsidRPr="00791FD8">
        <w:t>: This report updates Ontario's contributions to the second report on articles 6-9 for the period 1 January 1986 to 30 September 1994, and the second report on articles 10-15 for the period 1 January 1990 to 30 September 1994.</w:t>
      </w:r>
    </w:p>
    <w:p w14:paraId="5E71A242" w14:textId="77777777" w:rsidR="00AF59FA" w:rsidRDefault="00AF59FA" w:rsidP="00AF59FA"/>
    <w:p w14:paraId="486AAB39" w14:textId="77777777" w:rsidR="00AF59FA" w:rsidRDefault="00AF59FA" w:rsidP="00AF59FA">
      <w:r w:rsidRPr="00791FD8">
        <w:t>200</w:t>
      </w:r>
      <w:r>
        <w:t>4 Report (Fourth): Fourth Report of Canada covers October 1994-September 1999.</w:t>
      </w:r>
    </w:p>
    <w:p w14:paraId="3F377D1A" w14:textId="77777777" w:rsidR="00AF59FA" w:rsidRDefault="00AF59FA" w:rsidP="00AF59FA"/>
    <w:p w14:paraId="4DCFD20D" w14:textId="552E9BCF" w:rsidR="00FE003A" w:rsidRDefault="00AF59FA" w:rsidP="00AF59FA">
      <w:r>
        <w:t>2005 Report (Fifth): covers period September 1999 to December 2004</w:t>
      </w:r>
      <w:bookmarkStart w:id="0" w:name="_GoBack"/>
      <w:bookmarkEnd w:id="0"/>
    </w:p>
    <w:p w14:paraId="38BA1118" w14:textId="77777777" w:rsidR="00FE003A" w:rsidRDefault="00FE003A" w:rsidP="00AF59FA"/>
    <w:p w14:paraId="4A559F33" w14:textId="6A7F01F1" w:rsidR="00AF59FA" w:rsidRPr="00791FD8" w:rsidRDefault="00F35A27" w:rsidP="00AF59FA">
      <w:r>
        <w:t>For a l</w:t>
      </w:r>
      <w:r w:rsidR="002754B4">
        <w:t xml:space="preserve">ist of all reports and responses by the CESCR see: </w:t>
      </w:r>
      <w:hyperlink r:id="rId16" w:history="1">
        <w:r w:rsidR="002754B4" w:rsidRPr="002754B4">
          <w:rPr>
            <w:rStyle w:val="Hyperlink"/>
          </w:rPr>
          <w:t>http://www.socialrightsontario.ca/international-human-rights/universal-periodic-review/</w:t>
        </w:r>
      </w:hyperlink>
      <w:r w:rsidR="002754B4">
        <w:t xml:space="preserve"> </w:t>
      </w:r>
    </w:p>
    <w:p w14:paraId="51C93BE5" w14:textId="77777777" w:rsidR="00AF59FA" w:rsidRPr="00791FD8" w:rsidRDefault="00AF59FA" w:rsidP="00AF59FA"/>
    <w:p w14:paraId="300BAE43" w14:textId="77777777" w:rsidR="00C60377" w:rsidRDefault="00C60377"/>
    <w:sectPr w:rsidR="00C60377" w:rsidSect="00BA4971">
      <w:headerReference w:type="default" r:id="rId17"/>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4EAD2" w14:textId="77777777" w:rsidR="00216281" w:rsidRDefault="00216281">
      <w:r>
        <w:separator/>
      </w:r>
    </w:p>
  </w:endnote>
  <w:endnote w:type="continuationSeparator" w:id="0">
    <w:p w14:paraId="119ACC02" w14:textId="77777777" w:rsidR="00216281" w:rsidRDefault="0021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E7D80F" w14:textId="77777777" w:rsidR="00216281" w:rsidRDefault="00216281">
      <w:r>
        <w:separator/>
      </w:r>
    </w:p>
  </w:footnote>
  <w:footnote w:type="continuationSeparator" w:id="0">
    <w:p w14:paraId="6B1D2132" w14:textId="77777777" w:rsidR="00216281" w:rsidRDefault="0021628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913A9" w14:textId="77777777" w:rsidR="00216281" w:rsidRDefault="00216281">
    <w:pPr>
      <w:pStyle w:val="Header"/>
      <w:jc w:val="right"/>
    </w:pPr>
    <w:r>
      <w:fldChar w:fldCharType="begin"/>
    </w:r>
    <w:r>
      <w:instrText xml:space="preserve"> PAGE   \* MERGEFORMAT </w:instrText>
    </w:r>
    <w:r>
      <w:fldChar w:fldCharType="separate"/>
    </w:r>
    <w:r w:rsidR="00FE003A">
      <w:rPr>
        <w:noProof/>
      </w:rPr>
      <w:t>1</w:t>
    </w:r>
    <w:r>
      <w:fldChar w:fldCharType="end"/>
    </w:r>
  </w:p>
  <w:p w14:paraId="01E413A3" w14:textId="77777777" w:rsidR="00216281" w:rsidRDefault="0021628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D6F80"/>
    <w:multiLevelType w:val="hybridMultilevel"/>
    <w:tmpl w:val="C398242C"/>
    <w:lvl w:ilvl="0" w:tplc="905C9CD8">
      <w:start w:val="146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933B95"/>
    <w:multiLevelType w:val="hybridMultilevel"/>
    <w:tmpl w:val="078E3CCA"/>
    <w:lvl w:ilvl="0" w:tplc="905C9CD8">
      <w:start w:val="146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6E4454"/>
    <w:multiLevelType w:val="hybridMultilevel"/>
    <w:tmpl w:val="95B841EA"/>
    <w:lvl w:ilvl="0" w:tplc="905C9CD8">
      <w:start w:val="1468"/>
      <w:numFmt w:val="bullet"/>
      <w:lvlText w:val="-"/>
      <w:lvlJc w:val="left"/>
      <w:pPr>
        <w:ind w:left="720" w:hanging="360"/>
      </w:pPr>
      <w:rPr>
        <w:rFonts w:ascii="Calibri" w:eastAsia="Calibri" w:hAnsi="Calibri"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FA"/>
    <w:rsid w:val="00082D6A"/>
    <w:rsid w:val="00090014"/>
    <w:rsid w:val="000B4E47"/>
    <w:rsid w:val="000B6B11"/>
    <w:rsid w:val="00142066"/>
    <w:rsid w:val="001A5C1A"/>
    <w:rsid w:val="002141D7"/>
    <w:rsid w:val="00216281"/>
    <w:rsid w:val="0025478A"/>
    <w:rsid w:val="002754B4"/>
    <w:rsid w:val="00344FE9"/>
    <w:rsid w:val="003706F9"/>
    <w:rsid w:val="003B145C"/>
    <w:rsid w:val="0084291C"/>
    <w:rsid w:val="00884637"/>
    <w:rsid w:val="008903F8"/>
    <w:rsid w:val="00900D46"/>
    <w:rsid w:val="00A52465"/>
    <w:rsid w:val="00AF59FA"/>
    <w:rsid w:val="00B408EF"/>
    <w:rsid w:val="00BA4971"/>
    <w:rsid w:val="00C16418"/>
    <w:rsid w:val="00C60377"/>
    <w:rsid w:val="00CD27EF"/>
    <w:rsid w:val="00D572BC"/>
    <w:rsid w:val="00E07D1E"/>
    <w:rsid w:val="00ED1050"/>
    <w:rsid w:val="00F35A27"/>
    <w:rsid w:val="00FE003A"/>
    <w:rsid w:val="00FE51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98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FA"/>
    <w:rPr>
      <w:rFonts w:ascii="Calibri" w:eastAsia="Calibri" w:hAnsi="Calibri" w:cs="Times New Roman"/>
      <w:sz w:val="22"/>
      <w:szCs w:val="22"/>
      <w:lang w:val="en-CA"/>
    </w:rPr>
  </w:style>
  <w:style w:type="paragraph" w:styleId="Heading1">
    <w:name w:val="heading 1"/>
    <w:basedOn w:val="Normal"/>
    <w:next w:val="Normal"/>
    <w:link w:val="Heading1Char"/>
    <w:uiPriority w:val="9"/>
    <w:qFormat/>
    <w:rsid w:val="00AF59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9FA"/>
    <w:rPr>
      <w:rFonts w:ascii="Cambria" w:eastAsia="Times New Roman" w:hAnsi="Cambria" w:cs="Times New Roman"/>
      <w:b/>
      <w:bCs/>
      <w:kern w:val="32"/>
      <w:sz w:val="32"/>
      <w:szCs w:val="32"/>
      <w:lang w:val="en-CA"/>
    </w:rPr>
  </w:style>
  <w:style w:type="paragraph" w:styleId="Header">
    <w:name w:val="header"/>
    <w:basedOn w:val="Normal"/>
    <w:link w:val="HeaderChar"/>
    <w:uiPriority w:val="99"/>
    <w:unhideWhenUsed/>
    <w:rsid w:val="00AF59FA"/>
    <w:pPr>
      <w:tabs>
        <w:tab w:val="center" w:pos="4680"/>
        <w:tab w:val="right" w:pos="9360"/>
      </w:tabs>
    </w:pPr>
  </w:style>
  <w:style w:type="character" w:customStyle="1" w:styleId="HeaderChar">
    <w:name w:val="Header Char"/>
    <w:basedOn w:val="DefaultParagraphFont"/>
    <w:link w:val="Header"/>
    <w:uiPriority w:val="99"/>
    <w:rsid w:val="00AF59FA"/>
    <w:rPr>
      <w:rFonts w:ascii="Calibri" w:eastAsia="Calibri" w:hAnsi="Calibri" w:cs="Times New Roman"/>
      <w:sz w:val="22"/>
      <w:szCs w:val="22"/>
      <w:lang w:val="en-CA"/>
    </w:rPr>
  </w:style>
  <w:style w:type="character" w:styleId="Hyperlink">
    <w:name w:val="Hyperlink"/>
    <w:basedOn w:val="DefaultParagraphFont"/>
    <w:uiPriority w:val="99"/>
    <w:unhideWhenUsed/>
    <w:rsid w:val="00ED1050"/>
    <w:rPr>
      <w:color w:val="0000FF" w:themeColor="hyperlink"/>
      <w:u w:val="single"/>
    </w:rPr>
  </w:style>
  <w:style w:type="character" w:styleId="FollowedHyperlink">
    <w:name w:val="FollowedHyperlink"/>
    <w:basedOn w:val="DefaultParagraphFont"/>
    <w:uiPriority w:val="99"/>
    <w:semiHidden/>
    <w:unhideWhenUsed/>
    <w:rsid w:val="00ED1050"/>
    <w:rPr>
      <w:color w:val="800080" w:themeColor="followedHyperlink"/>
      <w:u w:val="single"/>
    </w:rPr>
  </w:style>
  <w:style w:type="paragraph" w:styleId="ListParagraph">
    <w:name w:val="List Paragraph"/>
    <w:basedOn w:val="Normal"/>
    <w:uiPriority w:val="34"/>
    <w:qFormat/>
    <w:rsid w:val="00B408E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9FA"/>
    <w:rPr>
      <w:rFonts w:ascii="Calibri" w:eastAsia="Calibri" w:hAnsi="Calibri" w:cs="Times New Roman"/>
      <w:sz w:val="22"/>
      <w:szCs w:val="22"/>
      <w:lang w:val="en-CA"/>
    </w:rPr>
  </w:style>
  <w:style w:type="paragraph" w:styleId="Heading1">
    <w:name w:val="heading 1"/>
    <w:basedOn w:val="Normal"/>
    <w:next w:val="Normal"/>
    <w:link w:val="Heading1Char"/>
    <w:uiPriority w:val="9"/>
    <w:qFormat/>
    <w:rsid w:val="00AF59FA"/>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9FA"/>
    <w:rPr>
      <w:rFonts w:ascii="Cambria" w:eastAsia="Times New Roman" w:hAnsi="Cambria" w:cs="Times New Roman"/>
      <w:b/>
      <w:bCs/>
      <w:kern w:val="32"/>
      <w:sz w:val="32"/>
      <w:szCs w:val="32"/>
      <w:lang w:val="en-CA"/>
    </w:rPr>
  </w:style>
  <w:style w:type="paragraph" w:styleId="Header">
    <w:name w:val="header"/>
    <w:basedOn w:val="Normal"/>
    <w:link w:val="HeaderChar"/>
    <w:uiPriority w:val="99"/>
    <w:unhideWhenUsed/>
    <w:rsid w:val="00AF59FA"/>
    <w:pPr>
      <w:tabs>
        <w:tab w:val="center" w:pos="4680"/>
        <w:tab w:val="right" w:pos="9360"/>
      </w:tabs>
    </w:pPr>
  </w:style>
  <w:style w:type="character" w:customStyle="1" w:styleId="HeaderChar">
    <w:name w:val="Header Char"/>
    <w:basedOn w:val="DefaultParagraphFont"/>
    <w:link w:val="Header"/>
    <w:uiPriority w:val="99"/>
    <w:rsid w:val="00AF59FA"/>
    <w:rPr>
      <w:rFonts w:ascii="Calibri" w:eastAsia="Calibri" w:hAnsi="Calibri" w:cs="Times New Roman"/>
      <w:sz w:val="22"/>
      <w:szCs w:val="22"/>
      <w:lang w:val="en-CA"/>
    </w:rPr>
  </w:style>
  <w:style w:type="character" w:styleId="Hyperlink">
    <w:name w:val="Hyperlink"/>
    <w:basedOn w:val="DefaultParagraphFont"/>
    <w:uiPriority w:val="99"/>
    <w:unhideWhenUsed/>
    <w:rsid w:val="00ED1050"/>
    <w:rPr>
      <w:color w:val="0000FF" w:themeColor="hyperlink"/>
      <w:u w:val="single"/>
    </w:rPr>
  </w:style>
  <w:style w:type="character" w:styleId="FollowedHyperlink">
    <w:name w:val="FollowedHyperlink"/>
    <w:basedOn w:val="DefaultParagraphFont"/>
    <w:uiPriority w:val="99"/>
    <w:semiHidden/>
    <w:unhideWhenUsed/>
    <w:rsid w:val="00ED1050"/>
    <w:rPr>
      <w:color w:val="800080" w:themeColor="followedHyperlink"/>
      <w:u w:val="single"/>
    </w:rPr>
  </w:style>
  <w:style w:type="paragraph" w:styleId="ListParagraph">
    <w:name w:val="List Paragraph"/>
    <w:basedOn w:val="Normal"/>
    <w:uiPriority w:val="34"/>
    <w:qFormat/>
    <w:rsid w:val="00B40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ocialrightsontario.ca/wp-content/uploads/2010/08/ICESCR_Fourth-Report-Submission.pdf" TargetMode="External"/><Relationship Id="rId12" Type="http://schemas.openxmlformats.org/officeDocument/2006/relationships/hyperlink" Target="http://www.socialrightsontario.ca/wp-content/uploads/2010/08/ICESCR_Fourth-Report-Submission.pdf" TargetMode="External"/><Relationship Id="rId13" Type="http://schemas.openxmlformats.org/officeDocument/2006/relationships/hyperlink" Target="http://www.socialrightsontario.ca/wp-content/uploads/2010/08/ICESCR_Fifth-Report-Submission.pdf" TargetMode="External"/><Relationship Id="rId14" Type="http://schemas.openxmlformats.org/officeDocument/2006/relationships/hyperlink" Target="http://www.socialrightsontario.ca/wp-content/uploads/2010/08/ICESCR_Fifth-Report-Submission.pdf" TargetMode="External"/><Relationship Id="rId15" Type="http://schemas.openxmlformats.org/officeDocument/2006/relationships/hyperlink" Target="http://www.socialrightsontario.ca/wp-content/uploads/2010/08/ICESCR_Fifth-Report-Submission.pdf" TargetMode="External"/><Relationship Id="rId16" Type="http://schemas.openxmlformats.org/officeDocument/2006/relationships/hyperlink" Target="http://www.socialrightsontario.ca/international-human-rights/universal-periodic-review/"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ocialrightsontario.ca/international-human-rights/universal-periodic-review/" TargetMode="External"/><Relationship Id="rId9" Type="http://schemas.openxmlformats.org/officeDocument/2006/relationships/hyperlink" Target="http://www.socialrightsontario.ca/wp-content/uploads/2010/08/ICESCR_Third-Report-Submission1.pdf" TargetMode="External"/><Relationship Id="rId10" Type="http://schemas.openxmlformats.org/officeDocument/2006/relationships/hyperlink" Target="http://www.socialrightsontario.ca/wp-content/uploads/2010/08/ICESCR_Third-Report-Submission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1148</Words>
  <Characters>6548</Characters>
  <Application>Microsoft Macintosh Word</Application>
  <DocSecurity>0</DocSecurity>
  <Lines>54</Lines>
  <Paragraphs>15</Paragraphs>
  <ScaleCrop>false</ScaleCrop>
  <Company/>
  <LinksUpToDate>false</LinksUpToDate>
  <CharactersWithSpaces>7681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Chislett</dc:creator>
  <cp:keywords/>
  <dc:description/>
  <cp:lastModifiedBy>Lucy Chislett</cp:lastModifiedBy>
  <cp:revision>2</cp:revision>
  <cp:lastPrinted>2011-07-28T18:32:00Z</cp:lastPrinted>
  <dcterms:created xsi:type="dcterms:W3CDTF">2012-01-15T01:27:00Z</dcterms:created>
  <dcterms:modified xsi:type="dcterms:W3CDTF">2012-01-15T01:27:00Z</dcterms:modified>
</cp:coreProperties>
</file>